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8516" w14:textId="77777777" w:rsidR="00463C1C" w:rsidRDefault="00000000">
      <w:pPr>
        <w:ind w:left="0" w:hanging="2"/>
        <w:jc w:val="center"/>
        <w:rPr>
          <w:rFonts w:ascii="Arial" w:eastAsia="Arial" w:hAnsi="Arial" w:cs="Arial"/>
          <w:sz w:val="24"/>
          <w:szCs w:val="24"/>
        </w:rPr>
      </w:pPr>
      <w:r>
        <w:rPr>
          <w:rFonts w:ascii="Arial" w:eastAsia="Arial" w:hAnsi="Arial" w:cs="Arial"/>
          <w:b/>
          <w:sz w:val="24"/>
          <w:szCs w:val="24"/>
        </w:rPr>
        <w:t>Disabilities Media Guide — ‘Ableism 101’</w:t>
      </w:r>
    </w:p>
    <w:p w14:paraId="0FBE9195" w14:textId="77777777" w:rsidR="00463C1C" w:rsidRDefault="00000000">
      <w:pPr>
        <w:numPr>
          <w:ilvl w:val="0"/>
          <w:numId w:val="1"/>
        </w:numPr>
        <w:spacing w:after="0"/>
        <w:ind w:left="0" w:hanging="2"/>
        <w:rPr>
          <w:rFonts w:ascii="Arial" w:eastAsia="Arial" w:hAnsi="Arial" w:cs="Arial"/>
        </w:rPr>
      </w:pPr>
      <w:r>
        <w:rPr>
          <w:rFonts w:ascii="Arial" w:eastAsia="Arial" w:hAnsi="Arial" w:cs="Arial"/>
          <w:b/>
        </w:rPr>
        <w:t>Author</w:t>
      </w:r>
      <w:r>
        <w:rPr>
          <w:rFonts w:ascii="Arial" w:eastAsia="Arial" w:hAnsi="Arial" w:cs="Arial"/>
        </w:rPr>
        <w:t>: AW Shim (2023 Interim Disabilities Officer for SULS)</w:t>
      </w:r>
    </w:p>
    <w:p w14:paraId="1CE3CCE2" w14:textId="77777777" w:rsidR="00463C1C" w:rsidRDefault="00463C1C">
      <w:pPr>
        <w:spacing w:after="0"/>
        <w:ind w:left="0" w:hanging="2"/>
        <w:rPr>
          <w:rFonts w:ascii="Arial" w:eastAsia="Arial" w:hAnsi="Arial" w:cs="Arial"/>
        </w:rPr>
      </w:pPr>
    </w:p>
    <w:p w14:paraId="6A37C614" w14:textId="77777777" w:rsidR="00463C1C" w:rsidRDefault="00000000">
      <w:pPr>
        <w:spacing w:after="0"/>
        <w:ind w:left="0" w:hanging="2"/>
        <w:rPr>
          <w:rFonts w:ascii="Arial" w:eastAsia="Arial" w:hAnsi="Arial" w:cs="Arial"/>
        </w:rPr>
      </w:pPr>
      <w:r>
        <w:rPr>
          <w:rFonts w:ascii="Arial" w:eastAsia="Arial" w:hAnsi="Arial" w:cs="Arial"/>
          <w:b/>
        </w:rPr>
        <w:t xml:space="preserve">Social &amp; Human Rights Model of Disability </w:t>
      </w:r>
    </w:p>
    <w:p w14:paraId="78B6CE25" w14:textId="77777777" w:rsidR="00463C1C" w:rsidRDefault="00463C1C">
      <w:pPr>
        <w:spacing w:after="0"/>
        <w:ind w:left="0" w:hanging="2"/>
        <w:rPr>
          <w:rFonts w:ascii="Arial" w:eastAsia="Arial" w:hAnsi="Arial" w:cs="Arial"/>
        </w:rPr>
      </w:pPr>
    </w:p>
    <w:p w14:paraId="180F5C54" w14:textId="77777777" w:rsidR="00463C1C" w:rsidRDefault="00000000">
      <w:pPr>
        <w:spacing w:after="0"/>
        <w:ind w:left="0" w:hanging="2"/>
        <w:rPr>
          <w:rFonts w:ascii="Arial" w:eastAsia="Arial" w:hAnsi="Arial" w:cs="Arial"/>
        </w:rPr>
      </w:pPr>
      <w:r>
        <w:rPr>
          <w:rFonts w:ascii="Arial" w:eastAsia="Arial" w:hAnsi="Arial" w:cs="Arial"/>
        </w:rPr>
        <w:t xml:space="preserve">We acknowledge the Social Model of Disability which — in alignment with the United Nations </w:t>
      </w:r>
      <w:hyperlink r:id="rId8">
        <w:r>
          <w:rPr>
            <w:rFonts w:ascii="Arial" w:eastAsia="Arial" w:hAnsi="Arial" w:cs="Arial"/>
            <w:i/>
            <w:color w:val="1155CC"/>
            <w:u w:val="single"/>
          </w:rPr>
          <w:t>Convention on the Rights of Persons with Disabilities</w:t>
        </w:r>
      </w:hyperlink>
      <w:r>
        <w:rPr>
          <w:rFonts w:ascii="Arial" w:eastAsia="Arial" w:hAnsi="Arial" w:cs="Arial"/>
        </w:rPr>
        <w:t xml:space="preserve"> (‘</w:t>
      </w:r>
      <w:r>
        <w:rPr>
          <w:rFonts w:ascii="Arial" w:eastAsia="Arial" w:hAnsi="Arial" w:cs="Arial"/>
          <w:i/>
        </w:rPr>
        <w:t>CRPD</w:t>
      </w:r>
      <w:r>
        <w:rPr>
          <w:rFonts w:ascii="Arial" w:eastAsia="Arial" w:hAnsi="Arial" w:cs="Arial"/>
        </w:rPr>
        <w:t>’) and therefore a human rights approach to disability — describes people with disability as people who have long-term physical, mental, intellectual, or sensory differences which, following interaction with structural and attitudinal barriers such as inaccessible environments, stymie their socioeconomic participation.</w:t>
      </w:r>
    </w:p>
    <w:p w14:paraId="2055B1CC" w14:textId="77777777" w:rsidR="00463C1C" w:rsidRDefault="00463C1C">
      <w:pPr>
        <w:spacing w:after="0"/>
        <w:ind w:left="0" w:hanging="2"/>
        <w:rPr>
          <w:rFonts w:ascii="Arial" w:eastAsia="Arial" w:hAnsi="Arial" w:cs="Arial"/>
        </w:rPr>
      </w:pPr>
    </w:p>
    <w:p w14:paraId="1292AA31" w14:textId="77777777" w:rsidR="00463C1C" w:rsidRDefault="00000000">
      <w:pPr>
        <w:spacing w:after="0"/>
        <w:ind w:left="0" w:hanging="2"/>
        <w:rPr>
          <w:rFonts w:ascii="Arial" w:eastAsia="Arial" w:hAnsi="Arial" w:cs="Arial"/>
        </w:rPr>
      </w:pPr>
      <w:r>
        <w:rPr>
          <w:rFonts w:ascii="Arial" w:eastAsia="Arial" w:hAnsi="Arial" w:cs="Arial"/>
        </w:rPr>
        <w:t xml:space="preserve">We recognise that inequitable environments can disable students with chronic health conditions, as well as students experiencing structural inequity. For more information about the </w:t>
      </w:r>
      <w:r>
        <w:rPr>
          <w:rFonts w:ascii="Arial" w:eastAsia="Arial" w:hAnsi="Arial" w:cs="Arial"/>
          <w:b/>
        </w:rPr>
        <w:t>Social &amp; Human Rights Model of Disability</w:t>
      </w:r>
      <w:r>
        <w:rPr>
          <w:rFonts w:ascii="Arial" w:eastAsia="Arial" w:hAnsi="Arial" w:cs="Arial"/>
        </w:rPr>
        <w:t xml:space="preserve">, please watch this </w:t>
      </w:r>
      <w:hyperlink r:id="rId9">
        <w:r>
          <w:rPr>
            <w:rFonts w:ascii="Arial" w:eastAsia="Arial" w:hAnsi="Arial" w:cs="Arial"/>
            <w:color w:val="1155CC"/>
            <w:u w:val="single"/>
          </w:rPr>
          <w:t>short video</w:t>
        </w:r>
      </w:hyperlink>
      <w:r>
        <w:rPr>
          <w:rFonts w:ascii="Arial" w:eastAsia="Arial" w:hAnsi="Arial" w:cs="Arial"/>
        </w:rPr>
        <w:t xml:space="preserve"> from the Disability Advocacy Resource Unit (‘DARU’) by scanning this QR code:</w:t>
      </w:r>
    </w:p>
    <w:p w14:paraId="1F97CD6E" w14:textId="77777777" w:rsidR="00463C1C" w:rsidRDefault="00463C1C">
      <w:pPr>
        <w:spacing w:after="0"/>
        <w:ind w:left="0" w:hanging="2"/>
        <w:rPr>
          <w:rFonts w:ascii="Arial" w:eastAsia="Arial" w:hAnsi="Arial" w:cs="Arial"/>
        </w:rPr>
      </w:pPr>
    </w:p>
    <w:p w14:paraId="1DB0AE35" w14:textId="77777777" w:rsidR="00463C1C" w:rsidRDefault="00000000">
      <w:pPr>
        <w:spacing w:after="0"/>
        <w:ind w:left="0" w:hanging="2"/>
        <w:rPr>
          <w:rFonts w:ascii="Arial" w:eastAsia="Arial" w:hAnsi="Arial" w:cs="Arial"/>
        </w:rPr>
      </w:pPr>
      <w:r>
        <w:rPr>
          <w:rFonts w:ascii="Arial" w:eastAsia="Arial" w:hAnsi="Arial" w:cs="Arial"/>
          <w:noProof/>
        </w:rPr>
        <w:drawing>
          <wp:inline distT="114300" distB="114300" distL="114300" distR="114300" wp14:anchorId="02EC8C5B" wp14:editId="47D120A0">
            <wp:extent cx="1191048" cy="1191048"/>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191048" cy="1191048"/>
                    </a:xfrm>
                    <a:prstGeom prst="rect">
                      <a:avLst/>
                    </a:prstGeom>
                    <a:ln/>
                  </pic:spPr>
                </pic:pic>
              </a:graphicData>
            </a:graphic>
          </wp:inline>
        </w:drawing>
      </w:r>
    </w:p>
    <w:p w14:paraId="1E17F867" w14:textId="77777777" w:rsidR="00463C1C" w:rsidRDefault="00463C1C">
      <w:pPr>
        <w:spacing w:after="0"/>
        <w:ind w:left="0" w:hanging="2"/>
        <w:rPr>
          <w:rFonts w:ascii="Arial" w:eastAsia="Arial" w:hAnsi="Arial" w:cs="Arial"/>
        </w:rPr>
      </w:pPr>
    </w:p>
    <w:p w14:paraId="18A15665" w14:textId="77777777" w:rsidR="00463C1C" w:rsidRDefault="00000000">
      <w:pPr>
        <w:spacing w:after="0"/>
        <w:ind w:left="0" w:hanging="2"/>
        <w:rPr>
          <w:rFonts w:ascii="Arial" w:eastAsia="Arial" w:hAnsi="Arial" w:cs="Arial"/>
        </w:rPr>
      </w:pPr>
      <w:r>
        <w:rPr>
          <w:rFonts w:ascii="Arial" w:eastAsia="Arial" w:hAnsi="Arial" w:cs="Arial"/>
          <w:b/>
        </w:rPr>
        <w:t>Person-First Language (‘PFL’) &amp; Identity-First Language (‘IFL’)</w:t>
      </w:r>
    </w:p>
    <w:p w14:paraId="007C2568" w14:textId="77777777" w:rsidR="00463C1C" w:rsidRDefault="00463C1C">
      <w:pPr>
        <w:spacing w:after="0"/>
        <w:ind w:left="0" w:hanging="2"/>
        <w:rPr>
          <w:rFonts w:ascii="Arial" w:eastAsia="Arial" w:hAnsi="Arial" w:cs="Arial"/>
        </w:rPr>
      </w:pPr>
    </w:p>
    <w:p w14:paraId="35B3A98D" w14:textId="77777777" w:rsidR="00463C1C" w:rsidRDefault="00000000">
      <w:pPr>
        <w:spacing w:after="0"/>
        <w:ind w:left="0" w:hanging="2"/>
        <w:rPr>
          <w:rFonts w:ascii="Arial" w:eastAsia="Arial" w:hAnsi="Arial" w:cs="Arial"/>
          <w:highlight w:val="white"/>
        </w:rPr>
      </w:pPr>
      <w:r>
        <w:rPr>
          <w:rFonts w:ascii="Arial" w:eastAsia="Arial" w:hAnsi="Arial" w:cs="Arial"/>
        </w:rPr>
        <w:t>The author of this media guide chooses to use a mix of person-first and identity-first language (‘</w:t>
      </w:r>
      <w:r>
        <w:rPr>
          <w:rFonts w:ascii="Arial" w:eastAsia="Arial" w:hAnsi="Arial" w:cs="Arial"/>
          <w:i/>
        </w:rPr>
        <w:t>person with disability</w:t>
      </w:r>
      <w:r>
        <w:rPr>
          <w:rFonts w:ascii="Arial" w:eastAsia="Arial" w:hAnsi="Arial" w:cs="Arial"/>
        </w:rPr>
        <w:t>’ and ‘</w:t>
      </w:r>
      <w:r>
        <w:rPr>
          <w:rFonts w:ascii="Arial" w:eastAsia="Arial" w:hAnsi="Arial" w:cs="Arial"/>
          <w:i/>
        </w:rPr>
        <w:t>disabled person</w:t>
      </w:r>
      <w:r>
        <w:rPr>
          <w:rFonts w:ascii="Arial" w:eastAsia="Arial" w:hAnsi="Arial" w:cs="Arial"/>
        </w:rPr>
        <w:t>’ respectively) to reflect author preference in the disability community. Likewise, we use d/Deaf — as well as autistic and Autistic — to reflect varying preferences among disabled individuals and to reflect not only the lived experience but also their identities.</w:t>
      </w:r>
    </w:p>
    <w:p w14:paraId="487C447D" w14:textId="77777777" w:rsidR="00463C1C" w:rsidRDefault="00463C1C">
      <w:pPr>
        <w:spacing w:after="0"/>
        <w:ind w:left="0" w:hanging="2"/>
        <w:rPr>
          <w:rFonts w:ascii="Arial" w:eastAsia="Arial" w:hAnsi="Arial" w:cs="Arial"/>
        </w:rPr>
      </w:pPr>
    </w:p>
    <w:p w14:paraId="625C528A" w14:textId="77777777" w:rsidR="00463C1C" w:rsidRDefault="00000000">
      <w:pPr>
        <w:spacing w:after="0"/>
        <w:ind w:left="0" w:hanging="2"/>
        <w:rPr>
          <w:rFonts w:ascii="Arial" w:eastAsia="Arial" w:hAnsi="Arial" w:cs="Arial"/>
        </w:rPr>
      </w:pPr>
      <w:r>
        <w:rPr>
          <w:rFonts w:ascii="Arial" w:eastAsia="Arial" w:hAnsi="Arial" w:cs="Arial"/>
        </w:rPr>
        <w:t>Language and media representation can have the potential to perpetuate stigma and ableist assumptions. The purpose of this guide is to help destigmatise disability and to facilitate dialogue &amp; discourse which is more inclusive towards the disability sector.</w:t>
      </w:r>
    </w:p>
    <w:p w14:paraId="0AD75DE4" w14:textId="77777777" w:rsidR="00463C1C" w:rsidRDefault="00463C1C">
      <w:pPr>
        <w:spacing w:after="0"/>
        <w:ind w:left="0" w:hanging="2"/>
        <w:rPr>
          <w:rFonts w:ascii="Arial" w:eastAsia="Arial" w:hAnsi="Arial" w:cs="Arial"/>
        </w:rPr>
      </w:pPr>
    </w:p>
    <w:p w14:paraId="03399A92" w14:textId="77777777" w:rsidR="00463C1C" w:rsidRDefault="00000000">
      <w:pPr>
        <w:spacing w:after="0"/>
        <w:ind w:left="0" w:hanging="2"/>
        <w:rPr>
          <w:rFonts w:ascii="Arial" w:eastAsia="Arial" w:hAnsi="Arial" w:cs="Arial"/>
        </w:rPr>
      </w:pPr>
      <w:r>
        <w:rPr>
          <w:rFonts w:ascii="Arial" w:eastAsia="Arial" w:hAnsi="Arial" w:cs="Arial"/>
        </w:rPr>
        <w:t>We hope that this guide may offer the broader community some practical, evidence-based advice on discussing disability and people with lived experience.</w:t>
      </w:r>
    </w:p>
    <w:p w14:paraId="53EB82FE" w14:textId="77777777" w:rsidR="00463C1C" w:rsidRDefault="00000000">
      <w:pPr>
        <w:spacing w:after="0"/>
        <w:ind w:left="0" w:hanging="2"/>
        <w:jc w:val="both"/>
        <w:rPr>
          <w:rFonts w:ascii="Arial" w:eastAsia="Arial" w:hAnsi="Arial" w:cs="Arial"/>
          <w:highlight w:val="white"/>
        </w:rPr>
      </w:pPr>
      <w:r>
        <w:rPr>
          <w:rFonts w:ascii="Arial" w:eastAsia="Arial" w:hAnsi="Arial" w:cs="Arial"/>
          <w:highlight w:val="white"/>
        </w:rPr>
        <w:t>[Page break]</w:t>
      </w:r>
    </w:p>
    <w:p w14:paraId="0D0D2DB6" w14:textId="77777777" w:rsidR="00463C1C" w:rsidRDefault="00000000">
      <w:pPr>
        <w:spacing w:after="0"/>
        <w:ind w:left="0" w:hanging="2"/>
        <w:jc w:val="both"/>
        <w:rPr>
          <w:rFonts w:ascii="Arial" w:eastAsia="Arial" w:hAnsi="Arial" w:cs="Arial"/>
          <w:highlight w:val="white"/>
        </w:rPr>
      </w:pPr>
      <w:r>
        <w:br w:type="page"/>
      </w:r>
    </w:p>
    <w:p w14:paraId="4D9F44A8" w14:textId="77777777" w:rsidR="00463C1C" w:rsidRDefault="00000000">
      <w:pPr>
        <w:spacing w:after="0"/>
        <w:ind w:left="0" w:hanging="2"/>
        <w:jc w:val="center"/>
        <w:rPr>
          <w:rFonts w:ascii="Arial" w:eastAsia="Arial" w:hAnsi="Arial" w:cs="Arial"/>
          <w:highlight w:val="white"/>
        </w:rPr>
      </w:pPr>
      <w:r>
        <w:rPr>
          <w:rFonts w:ascii="Arial" w:eastAsia="Arial" w:hAnsi="Arial" w:cs="Arial"/>
          <w:b/>
          <w:highlight w:val="white"/>
        </w:rPr>
        <w:lastRenderedPageBreak/>
        <w:t>Commonly Used Phrases</w:t>
      </w:r>
    </w:p>
    <w:p w14:paraId="7219BAF1" w14:textId="77777777" w:rsidR="00463C1C" w:rsidRDefault="00463C1C">
      <w:pPr>
        <w:spacing w:after="0"/>
        <w:ind w:left="0" w:hanging="2"/>
        <w:rPr>
          <w:rFonts w:ascii="Arial" w:eastAsia="Arial" w:hAnsi="Arial" w:cs="Arial"/>
        </w:rPr>
      </w:pPr>
    </w:p>
    <w:tbl>
      <w:tblPr>
        <w:tblStyle w:val="af"/>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2595"/>
        <w:gridCol w:w="3405"/>
      </w:tblGrid>
      <w:tr w:rsidR="00463C1C" w14:paraId="49CCD904" w14:textId="77777777">
        <w:tc>
          <w:tcPr>
            <w:tcW w:w="3000" w:type="dxa"/>
            <w:shd w:val="clear" w:color="auto" w:fill="auto"/>
            <w:tcMar>
              <w:top w:w="100" w:type="dxa"/>
              <w:left w:w="100" w:type="dxa"/>
              <w:bottom w:w="100" w:type="dxa"/>
              <w:right w:w="100" w:type="dxa"/>
            </w:tcMar>
          </w:tcPr>
          <w:p w14:paraId="6025AE8D" w14:textId="77777777" w:rsidR="00463C1C" w:rsidRDefault="00000000">
            <w:pPr>
              <w:widowControl w:val="0"/>
              <w:spacing w:after="0" w:line="240" w:lineRule="auto"/>
              <w:ind w:left="0" w:hanging="2"/>
              <w:rPr>
                <w:rFonts w:ascii="Arial" w:eastAsia="Arial" w:hAnsi="Arial" w:cs="Arial"/>
                <w:b/>
                <w:color w:val="E06666"/>
              </w:rPr>
            </w:pPr>
            <w:r>
              <w:rPr>
                <w:rFonts w:ascii="Arial" w:eastAsia="Arial" w:hAnsi="Arial" w:cs="Arial"/>
                <w:b/>
                <w:color w:val="E06666"/>
              </w:rPr>
              <w:t>Instead of saying…</w:t>
            </w:r>
          </w:p>
        </w:tc>
        <w:tc>
          <w:tcPr>
            <w:tcW w:w="2595" w:type="dxa"/>
            <w:shd w:val="clear" w:color="auto" w:fill="auto"/>
            <w:tcMar>
              <w:top w:w="100" w:type="dxa"/>
              <w:left w:w="100" w:type="dxa"/>
              <w:bottom w:w="100" w:type="dxa"/>
              <w:right w:w="100" w:type="dxa"/>
            </w:tcMar>
          </w:tcPr>
          <w:p w14:paraId="20A652EE" w14:textId="77777777" w:rsidR="00463C1C" w:rsidRDefault="00000000">
            <w:pPr>
              <w:widowControl w:val="0"/>
              <w:spacing w:after="0" w:line="240" w:lineRule="auto"/>
              <w:ind w:left="0" w:hanging="2"/>
              <w:rPr>
                <w:rFonts w:ascii="Arial" w:eastAsia="Arial" w:hAnsi="Arial" w:cs="Arial"/>
                <w:b/>
                <w:color w:val="6AA84F"/>
              </w:rPr>
            </w:pPr>
            <w:r>
              <w:rPr>
                <w:rFonts w:ascii="Arial" w:eastAsia="Arial" w:hAnsi="Arial" w:cs="Arial"/>
                <w:b/>
                <w:color w:val="6AA84F"/>
              </w:rPr>
              <w:t>Consider saying…</w:t>
            </w:r>
          </w:p>
        </w:tc>
        <w:tc>
          <w:tcPr>
            <w:tcW w:w="3405" w:type="dxa"/>
            <w:shd w:val="clear" w:color="auto" w:fill="auto"/>
            <w:tcMar>
              <w:top w:w="100" w:type="dxa"/>
              <w:left w:w="100" w:type="dxa"/>
              <w:bottom w:w="100" w:type="dxa"/>
              <w:right w:w="100" w:type="dxa"/>
            </w:tcMar>
          </w:tcPr>
          <w:p w14:paraId="27C84A08" w14:textId="77777777" w:rsidR="00463C1C" w:rsidRDefault="00000000">
            <w:pPr>
              <w:widowControl w:val="0"/>
              <w:spacing w:after="0" w:line="240" w:lineRule="auto"/>
              <w:ind w:left="0" w:hanging="2"/>
              <w:rPr>
                <w:rFonts w:ascii="Arial" w:eastAsia="Arial" w:hAnsi="Arial" w:cs="Arial"/>
                <w:b/>
              </w:rPr>
            </w:pPr>
            <w:r>
              <w:rPr>
                <w:rFonts w:ascii="Arial" w:eastAsia="Arial" w:hAnsi="Arial" w:cs="Arial"/>
                <w:b/>
              </w:rPr>
              <w:t>Because…</w:t>
            </w:r>
          </w:p>
        </w:tc>
      </w:tr>
      <w:tr w:rsidR="00463C1C" w14:paraId="71DE189F" w14:textId="77777777">
        <w:tc>
          <w:tcPr>
            <w:tcW w:w="3000" w:type="dxa"/>
            <w:shd w:val="clear" w:color="auto" w:fill="auto"/>
            <w:tcMar>
              <w:top w:w="100" w:type="dxa"/>
              <w:left w:w="100" w:type="dxa"/>
              <w:bottom w:w="100" w:type="dxa"/>
              <w:right w:w="100" w:type="dxa"/>
            </w:tcMar>
          </w:tcPr>
          <w:p w14:paraId="52AE4C90"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Sp*stic, Sp*zz, R***rded</w:t>
            </w:r>
          </w:p>
        </w:tc>
        <w:tc>
          <w:tcPr>
            <w:tcW w:w="2595" w:type="dxa"/>
            <w:shd w:val="clear" w:color="auto" w:fill="auto"/>
            <w:tcMar>
              <w:top w:w="100" w:type="dxa"/>
              <w:left w:w="100" w:type="dxa"/>
              <w:bottom w:w="100" w:type="dxa"/>
              <w:right w:w="100" w:type="dxa"/>
            </w:tcMar>
          </w:tcPr>
          <w:p w14:paraId="03BC0F8D"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Frustrating, Confusing, Perplexing, Silly</w:t>
            </w:r>
          </w:p>
        </w:tc>
        <w:tc>
          <w:tcPr>
            <w:tcW w:w="3405" w:type="dxa"/>
            <w:shd w:val="clear" w:color="auto" w:fill="auto"/>
            <w:tcMar>
              <w:top w:w="100" w:type="dxa"/>
              <w:left w:w="100" w:type="dxa"/>
              <w:bottom w:w="100" w:type="dxa"/>
              <w:right w:w="100" w:type="dxa"/>
            </w:tcMar>
          </w:tcPr>
          <w:p w14:paraId="60AD4287"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These are ableist slurs which can perpetuate the assumption that experience of having a chronic or permanent health condition is inherently negative or lesser-than.</w:t>
            </w:r>
          </w:p>
        </w:tc>
      </w:tr>
      <w:tr w:rsidR="00463C1C" w14:paraId="498BA10C" w14:textId="77777777">
        <w:tc>
          <w:tcPr>
            <w:tcW w:w="3000" w:type="dxa"/>
            <w:shd w:val="clear" w:color="auto" w:fill="auto"/>
            <w:tcMar>
              <w:top w:w="100" w:type="dxa"/>
              <w:left w:w="100" w:type="dxa"/>
              <w:bottom w:w="100" w:type="dxa"/>
              <w:right w:w="100" w:type="dxa"/>
            </w:tcMar>
          </w:tcPr>
          <w:p w14:paraId="706374F5"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Lame</w:t>
            </w:r>
          </w:p>
        </w:tc>
        <w:tc>
          <w:tcPr>
            <w:tcW w:w="2595" w:type="dxa"/>
            <w:shd w:val="clear" w:color="auto" w:fill="auto"/>
            <w:tcMar>
              <w:top w:w="100" w:type="dxa"/>
              <w:left w:w="100" w:type="dxa"/>
              <w:bottom w:w="100" w:type="dxa"/>
              <w:right w:w="100" w:type="dxa"/>
            </w:tcMar>
          </w:tcPr>
          <w:p w14:paraId="328ADC1B"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Disappointing, Gross</w:t>
            </w:r>
          </w:p>
        </w:tc>
        <w:tc>
          <w:tcPr>
            <w:tcW w:w="3405" w:type="dxa"/>
            <w:shd w:val="clear" w:color="auto" w:fill="auto"/>
            <w:tcMar>
              <w:top w:w="100" w:type="dxa"/>
              <w:left w:w="100" w:type="dxa"/>
              <w:bottom w:w="100" w:type="dxa"/>
              <w:right w:w="100" w:type="dxa"/>
            </w:tcMar>
          </w:tcPr>
          <w:p w14:paraId="142AD074"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Using this word to describe a disappointing or frustrating situation can perpetuate stigma around physical conditions.</w:t>
            </w:r>
          </w:p>
        </w:tc>
      </w:tr>
      <w:tr w:rsidR="00463C1C" w14:paraId="1965C52F" w14:textId="77777777">
        <w:tc>
          <w:tcPr>
            <w:tcW w:w="3000" w:type="dxa"/>
            <w:shd w:val="clear" w:color="auto" w:fill="auto"/>
            <w:tcMar>
              <w:top w:w="100" w:type="dxa"/>
              <w:left w:w="100" w:type="dxa"/>
              <w:bottom w:w="100" w:type="dxa"/>
              <w:right w:w="100" w:type="dxa"/>
            </w:tcMar>
          </w:tcPr>
          <w:p w14:paraId="0CAE17F6"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Crazy, Mental, Psycho, Psychotic, Insane, Mad, Deranged</w:t>
            </w:r>
          </w:p>
        </w:tc>
        <w:tc>
          <w:tcPr>
            <w:tcW w:w="2595" w:type="dxa"/>
            <w:shd w:val="clear" w:color="auto" w:fill="auto"/>
            <w:tcMar>
              <w:top w:w="100" w:type="dxa"/>
              <w:left w:w="100" w:type="dxa"/>
              <w:bottom w:w="100" w:type="dxa"/>
              <w:right w:w="100" w:type="dxa"/>
            </w:tcMar>
          </w:tcPr>
          <w:p w14:paraId="0DDA009A"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Absurd, Ridiculous</w:t>
            </w:r>
          </w:p>
        </w:tc>
        <w:tc>
          <w:tcPr>
            <w:tcW w:w="3405" w:type="dxa"/>
            <w:shd w:val="clear" w:color="auto" w:fill="auto"/>
            <w:tcMar>
              <w:top w:w="100" w:type="dxa"/>
              <w:left w:w="100" w:type="dxa"/>
              <w:bottom w:w="100" w:type="dxa"/>
              <w:right w:w="100" w:type="dxa"/>
            </w:tcMar>
          </w:tcPr>
          <w:p w14:paraId="7F55CB50"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 xml:space="preserve">Because mental illness and </w:t>
            </w:r>
            <w:hyperlink r:id="rId11">
              <w:r>
                <w:rPr>
                  <w:rFonts w:ascii="Arial" w:eastAsia="Arial" w:hAnsi="Arial" w:cs="Arial"/>
                  <w:color w:val="1155CC"/>
                  <w:u w:val="single"/>
                </w:rPr>
                <w:t>psychosocial disability</w:t>
              </w:r>
            </w:hyperlink>
            <w:r>
              <w:rPr>
                <w:rFonts w:ascii="Arial" w:eastAsia="Arial" w:hAnsi="Arial" w:cs="Arial"/>
              </w:rPr>
              <w:t xml:space="preserve"> are stigmatised, an over-casualised utilisation of these words can </w:t>
            </w:r>
            <w:hyperlink r:id="rId12">
              <w:r>
                <w:rPr>
                  <w:rFonts w:ascii="Arial" w:eastAsia="Arial" w:hAnsi="Arial" w:cs="Arial"/>
                  <w:color w:val="1155CC"/>
                  <w:u w:val="single"/>
                </w:rPr>
                <w:t>reinforce unconscious biases</w:t>
              </w:r>
            </w:hyperlink>
            <w:r>
              <w:rPr>
                <w:rFonts w:ascii="Arial" w:eastAsia="Arial" w:hAnsi="Arial" w:cs="Arial"/>
              </w:rPr>
              <w:t>.</w:t>
            </w:r>
          </w:p>
        </w:tc>
      </w:tr>
      <w:tr w:rsidR="00463C1C" w14:paraId="0B5E8D87" w14:textId="77777777">
        <w:tc>
          <w:tcPr>
            <w:tcW w:w="3000" w:type="dxa"/>
            <w:shd w:val="clear" w:color="auto" w:fill="auto"/>
            <w:tcMar>
              <w:top w:w="100" w:type="dxa"/>
              <w:left w:w="100" w:type="dxa"/>
              <w:bottom w:w="100" w:type="dxa"/>
              <w:right w:w="100" w:type="dxa"/>
            </w:tcMar>
          </w:tcPr>
          <w:p w14:paraId="704A5F22"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Person with Autism, Suffers from Autism</w:t>
            </w:r>
          </w:p>
        </w:tc>
        <w:tc>
          <w:tcPr>
            <w:tcW w:w="2595" w:type="dxa"/>
            <w:shd w:val="clear" w:color="auto" w:fill="auto"/>
            <w:tcMar>
              <w:top w:w="100" w:type="dxa"/>
              <w:left w:w="100" w:type="dxa"/>
              <w:bottom w:w="100" w:type="dxa"/>
              <w:right w:w="100" w:type="dxa"/>
            </w:tcMar>
          </w:tcPr>
          <w:p w14:paraId="70308AFE"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Autistic person</w:t>
            </w:r>
          </w:p>
        </w:tc>
        <w:tc>
          <w:tcPr>
            <w:tcW w:w="3405" w:type="dxa"/>
            <w:shd w:val="clear" w:color="auto" w:fill="auto"/>
            <w:tcMar>
              <w:top w:w="100" w:type="dxa"/>
              <w:left w:w="100" w:type="dxa"/>
              <w:bottom w:w="100" w:type="dxa"/>
              <w:right w:w="100" w:type="dxa"/>
            </w:tcMar>
          </w:tcPr>
          <w:p w14:paraId="115124FE"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 xml:space="preserve">Overwhelming research from the UK and peak bodies, such as </w:t>
            </w:r>
            <w:hyperlink r:id="rId13">
              <w:r>
                <w:rPr>
                  <w:rFonts w:ascii="Arial" w:eastAsia="Arial" w:hAnsi="Arial" w:cs="Arial"/>
                  <w:color w:val="1155CC"/>
                  <w:u w:val="single"/>
                </w:rPr>
                <w:t>Amaze Australia</w:t>
              </w:r>
            </w:hyperlink>
            <w:r>
              <w:rPr>
                <w:rFonts w:ascii="Arial" w:eastAsia="Arial" w:hAnsi="Arial" w:cs="Arial"/>
              </w:rPr>
              <w:t>, underscore that the autistic community prefers Identity-First Language (‘IFL’), as it acknowledges autistic pride and autistic joy.</w:t>
            </w:r>
          </w:p>
          <w:p w14:paraId="7104DB58" w14:textId="77777777" w:rsidR="00463C1C" w:rsidRDefault="00463C1C">
            <w:pPr>
              <w:widowControl w:val="0"/>
              <w:spacing w:after="0" w:line="240" w:lineRule="auto"/>
              <w:ind w:left="0" w:hanging="2"/>
              <w:rPr>
                <w:rFonts w:ascii="Arial" w:eastAsia="Arial" w:hAnsi="Arial" w:cs="Arial"/>
              </w:rPr>
            </w:pPr>
          </w:p>
          <w:p w14:paraId="625FAC36"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Each person will have their individual preferences of how to describe them regarding IFL as opposed to Person-First Language (‘PFL’) such as ‘person with autism’, but acknowledging the consensus from the autistic community can provide an important step to self-determination.</w:t>
            </w:r>
          </w:p>
        </w:tc>
      </w:tr>
      <w:tr w:rsidR="00463C1C" w14:paraId="0705ED8F" w14:textId="77777777">
        <w:tc>
          <w:tcPr>
            <w:tcW w:w="3000" w:type="dxa"/>
            <w:shd w:val="clear" w:color="auto" w:fill="auto"/>
            <w:tcMar>
              <w:top w:w="100" w:type="dxa"/>
              <w:left w:w="100" w:type="dxa"/>
              <w:bottom w:w="100" w:type="dxa"/>
              <w:right w:w="100" w:type="dxa"/>
            </w:tcMar>
          </w:tcPr>
          <w:p w14:paraId="45683BD3"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Has overcome the odds</w:t>
            </w:r>
          </w:p>
          <w:p w14:paraId="4ACBE7F1" w14:textId="77777777" w:rsidR="00463C1C" w:rsidRDefault="00463C1C">
            <w:pPr>
              <w:widowControl w:val="0"/>
              <w:spacing w:after="0" w:line="240" w:lineRule="auto"/>
              <w:ind w:left="0" w:hanging="2"/>
              <w:rPr>
                <w:rFonts w:ascii="Arial" w:eastAsia="Arial" w:hAnsi="Arial" w:cs="Arial"/>
              </w:rPr>
            </w:pPr>
          </w:p>
          <w:p w14:paraId="0B8DDDAC"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Is an inspiration</w:t>
            </w:r>
          </w:p>
        </w:tc>
        <w:tc>
          <w:tcPr>
            <w:tcW w:w="2595" w:type="dxa"/>
            <w:shd w:val="clear" w:color="auto" w:fill="auto"/>
            <w:tcMar>
              <w:top w:w="100" w:type="dxa"/>
              <w:left w:w="100" w:type="dxa"/>
              <w:bottom w:w="100" w:type="dxa"/>
              <w:right w:w="100" w:type="dxa"/>
            </w:tcMar>
          </w:tcPr>
          <w:p w14:paraId="5C7DD025"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Has achieved</w:t>
            </w:r>
          </w:p>
          <w:p w14:paraId="61A71247" w14:textId="77777777" w:rsidR="00463C1C" w:rsidRDefault="00463C1C">
            <w:pPr>
              <w:widowControl w:val="0"/>
              <w:spacing w:after="0" w:line="240" w:lineRule="auto"/>
              <w:ind w:left="0" w:hanging="2"/>
              <w:rPr>
                <w:rFonts w:ascii="Arial" w:eastAsia="Arial" w:hAnsi="Arial" w:cs="Arial"/>
              </w:rPr>
            </w:pPr>
          </w:p>
          <w:p w14:paraId="61750AC7"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 xml:space="preserve">Is a (insert job title or another descriptor which acknowledges the person’s achievements </w:t>
            </w:r>
            <w:r>
              <w:rPr>
                <w:rFonts w:ascii="Arial" w:eastAsia="Arial" w:hAnsi="Arial" w:cs="Arial"/>
              </w:rPr>
              <w:lastRenderedPageBreak/>
              <w:t>as well as their humanity)</w:t>
            </w:r>
          </w:p>
        </w:tc>
        <w:tc>
          <w:tcPr>
            <w:tcW w:w="3405" w:type="dxa"/>
            <w:shd w:val="clear" w:color="auto" w:fill="auto"/>
            <w:tcMar>
              <w:top w:w="100" w:type="dxa"/>
              <w:left w:w="100" w:type="dxa"/>
              <w:bottom w:w="100" w:type="dxa"/>
              <w:right w:w="100" w:type="dxa"/>
            </w:tcMar>
          </w:tcPr>
          <w:p w14:paraId="622B5E17"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lastRenderedPageBreak/>
              <w:t>Stella Young, a Disability Advocate, coined the term ‘</w:t>
            </w:r>
            <w:hyperlink r:id="rId14">
              <w:r>
                <w:rPr>
                  <w:rFonts w:ascii="Arial" w:eastAsia="Arial" w:hAnsi="Arial" w:cs="Arial"/>
                  <w:color w:val="1155CC"/>
                  <w:u w:val="single"/>
                </w:rPr>
                <w:t>inspiration porn</w:t>
              </w:r>
            </w:hyperlink>
            <w:r>
              <w:rPr>
                <w:rFonts w:ascii="Arial" w:eastAsia="Arial" w:hAnsi="Arial" w:cs="Arial"/>
              </w:rPr>
              <w:t>’ to describe the often well-intentioned but paternalistic narratives around disability.</w:t>
            </w:r>
          </w:p>
          <w:p w14:paraId="34C5847A" w14:textId="77777777" w:rsidR="00463C1C" w:rsidRDefault="00463C1C">
            <w:pPr>
              <w:widowControl w:val="0"/>
              <w:spacing w:after="0" w:line="240" w:lineRule="auto"/>
              <w:ind w:left="0" w:hanging="2"/>
              <w:rPr>
                <w:rFonts w:ascii="Arial" w:eastAsia="Arial" w:hAnsi="Arial" w:cs="Arial"/>
              </w:rPr>
            </w:pPr>
          </w:p>
          <w:p w14:paraId="18781A48"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Language that suggests that people are limited by their disability and therefore unlikely to achieve success can be paradoxically harmful by creating a self-fulfilling prophecy, in which opportunities are not provided to those with disability.</w:t>
            </w:r>
          </w:p>
          <w:p w14:paraId="52950D74" w14:textId="77777777" w:rsidR="00463C1C" w:rsidRDefault="00463C1C">
            <w:pPr>
              <w:widowControl w:val="0"/>
              <w:spacing w:after="0" w:line="240" w:lineRule="auto"/>
              <w:ind w:left="0" w:hanging="2"/>
              <w:rPr>
                <w:rFonts w:ascii="Arial" w:eastAsia="Arial" w:hAnsi="Arial" w:cs="Arial"/>
              </w:rPr>
            </w:pPr>
          </w:p>
          <w:p w14:paraId="3B31F80D"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 xml:space="preserve">In general, we recommend exercising caution with the word ‘inspiration’ and reading more into ‘Inspiration Porn’ as a phenomenon, as suggested </w:t>
            </w:r>
            <w:hyperlink r:id="rId15">
              <w:r>
                <w:rPr>
                  <w:rFonts w:ascii="Arial" w:eastAsia="Arial" w:hAnsi="Arial" w:cs="Arial"/>
                  <w:color w:val="1155CC"/>
                  <w:u w:val="single"/>
                </w:rPr>
                <w:t>here</w:t>
              </w:r>
            </w:hyperlink>
            <w:r>
              <w:rPr>
                <w:rFonts w:ascii="Arial" w:eastAsia="Arial" w:hAnsi="Arial" w:cs="Arial"/>
              </w:rPr>
              <w:t xml:space="preserve">, </w:t>
            </w:r>
            <w:hyperlink r:id="rId16">
              <w:r>
                <w:rPr>
                  <w:rFonts w:ascii="Arial" w:eastAsia="Arial" w:hAnsi="Arial" w:cs="Arial"/>
                  <w:color w:val="1155CC"/>
                  <w:u w:val="single"/>
                </w:rPr>
                <w:t>here</w:t>
              </w:r>
            </w:hyperlink>
            <w:r>
              <w:rPr>
                <w:rFonts w:ascii="Arial" w:eastAsia="Arial" w:hAnsi="Arial" w:cs="Arial"/>
              </w:rPr>
              <w:t xml:space="preserve">, and </w:t>
            </w:r>
            <w:hyperlink r:id="rId17">
              <w:r>
                <w:rPr>
                  <w:rFonts w:ascii="Arial" w:eastAsia="Arial" w:hAnsi="Arial" w:cs="Arial"/>
                  <w:color w:val="1155CC"/>
                  <w:u w:val="single"/>
                </w:rPr>
                <w:t>here</w:t>
              </w:r>
            </w:hyperlink>
            <w:r>
              <w:rPr>
                <w:rFonts w:ascii="Arial" w:eastAsia="Arial" w:hAnsi="Arial" w:cs="Arial"/>
              </w:rPr>
              <w:t>.</w:t>
            </w:r>
          </w:p>
        </w:tc>
      </w:tr>
      <w:tr w:rsidR="00463C1C" w14:paraId="55A56CD8" w14:textId="77777777">
        <w:tc>
          <w:tcPr>
            <w:tcW w:w="3000" w:type="dxa"/>
            <w:shd w:val="clear" w:color="auto" w:fill="auto"/>
            <w:tcMar>
              <w:top w:w="100" w:type="dxa"/>
              <w:left w:w="100" w:type="dxa"/>
              <w:bottom w:w="100" w:type="dxa"/>
              <w:right w:w="100" w:type="dxa"/>
            </w:tcMar>
          </w:tcPr>
          <w:p w14:paraId="09772A78"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lastRenderedPageBreak/>
              <w:t>Low functioning / High functioning</w:t>
            </w:r>
          </w:p>
          <w:p w14:paraId="3BA4F4D1" w14:textId="77777777" w:rsidR="00463C1C" w:rsidRDefault="00463C1C">
            <w:pPr>
              <w:widowControl w:val="0"/>
              <w:spacing w:after="0" w:line="240" w:lineRule="auto"/>
              <w:ind w:left="0" w:hanging="2"/>
              <w:rPr>
                <w:rFonts w:ascii="Arial" w:eastAsia="Arial" w:hAnsi="Arial" w:cs="Arial"/>
              </w:rPr>
            </w:pPr>
          </w:p>
          <w:p w14:paraId="4250CABF"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Mild autism / severe autism</w:t>
            </w:r>
          </w:p>
        </w:tc>
        <w:tc>
          <w:tcPr>
            <w:tcW w:w="2595" w:type="dxa"/>
            <w:shd w:val="clear" w:color="auto" w:fill="auto"/>
            <w:tcMar>
              <w:top w:w="100" w:type="dxa"/>
              <w:left w:w="100" w:type="dxa"/>
              <w:bottom w:w="100" w:type="dxa"/>
              <w:right w:w="100" w:type="dxa"/>
            </w:tcMar>
          </w:tcPr>
          <w:p w14:paraId="307ECC8B"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Low support needs / High support needs</w:t>
            </w:r>
          </w:p>
        </w:tc>
        <w:tc>
          <w:tcPr>
            <w:tcW w:w="3405" w:type="dxa"/>
            <w:shd w:val="clear" w:color="auto" w:fill="auto"/>
            <w:tcMar>
              <w:top w:w="100" w:type="dxa"/>
              <w:left w:w="100" w:type="dxa"/>
              <w:bottom w:w="100" w:type="dxa"/>
              <w:right w:w="100" w:type="dxa"/>
            </w:tcMar>
          </w:tcPr>
          <w:p w14:paraId="0B79AB18"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Terms such as ‘high functioning’ and ‘mild’ can not only medicalise and pathologise a person, thereby perpetuating a Medical Model of Disability, but also invalidate a person’s lived experience, particularly of discrimination, self-stigmatisation, and internalised ableism.</w:t>
            </w:r>
          </w:p>
        </w:tc>
      </w:tr>
      <w:tr w:rsidR="00463C1C" w14:paraId="1B18C497" w14:textId="77777777">
        <w:tc>
          <w:tcPr>
            <w:tcW w:w="3000" w:type="dxa"/>
            <w:shd w:val="clear" w:color="auto" w:fill="auto"/>
            <w:tcMar>
              <w:top w:w="100" w:type="dxa"/>
              <w:left w:w="100" w:type="dxa"/>
              <w:bottom w:w="100" w:type="dxa"/>
              <w:right w:w="100" w:type="dxa"/>
            </w:tcMar>
          </w:tcPr>
          <w:p w14:paraId="464D6BFE"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Dumb</w:t>
            </w:r>
          </w:p>
        </w:tc>
        <w:tc>
          <w:tcPr>
            <w:tcW w:w="2595" w:type="dxa"/>
            <w:shd w:val="clear" w:color="auto" w:fill="auto"/>
            <w:tcMar>
              <w:top w:w="100" w:type="dxa"/>
              <w:left w:w="100" w:type="dxa"/>
              <w:bottom w:w="100" w:type="dxa"/>
              <w:right w:w="100" w:type="dxa"/>
            </w:tcMar>
          </w:tcPr>
          <w:p w14:paraId="2334BABA"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Illogical, ignorant</w:t>
            </w:r>
          </w:p>
        </w:tc>
        <w:tc>
          <w:tcPr>
            <w:tcW w:w="3405" w:type="dxa"/>
            <w:shd w:val="clear" w:color="auto" w:fill="auto"/>
            <w:tcMar>
              <w:top w:w="100" w:type="dxa"/>
              <w:left w:w="100" w:type="dxa"/>
              <w:bottom w:w="100" w:type="dxa"/>
              <w:right w:w="100" w:type="dxa"/>
            </w:tcMar>
          </w:tcPr>
          <w:p w14:paraId="38EC480A" w14:textId="77777777" w:rsidR="00463C1C" w:rsidRDefault="00000000">
            <w:pPr>
              <w:spacing w:after="0"/>
              <w:ind w:left="0" w:hanging="2"/>
              <w:jc w:val="both"/>
              <w:rPr>
                <w:rFonts w:ascii="Arial" w:eastAsia="Arial" w:hAnsi="Arial" w:cs="Arial"/>
                <w:highlight w:val="white"/>
              </w:rPr>
            </w:pPr>
            <w:r>
              <w:rPr>
                <w:rFonts w:ascii="Arial" w:eastAsia="Arial" w:hAnsi="Arial" w:cs="Arial"/>
                <w:highlight w:val="white"/>
              </w:rPr>
              <w:t>As ‘</w:t>
            </w:r>
            <w:hyperlink r:id="rId18">
              <w:r>
                <w:rPr>
                  <w:rFonts w:ascii="Arial" w:eastAsia="Arial" w:hAnsi="Arial" w:cs="Arial"/>
                  <w:i/>
                  <w:color w:val="1155CC"/>
                  <w:highlight w:val="white"/>
                  <w:u w:val="single"/>
                </w:rPr>
                <w:t>Ableism/Language</w:t>
              </w:r>
            </w:hyperlink>
            <w:r>
              <w:rPr>
                <w:rFonts w:ascii="Arial" w:eastAsia="Arial" w:hAnsi="Arial" w:cs="Arial"/>
                <w:highlight w:val="white"/>
              </w:rPr>
              <w:t>’ from Lydia Brown notes, ‘dumb’ is a term which can be offensive as it was historically used against d/Deaf people and people with speech-related disabilities. Many Deaf people do not in fact identify as having a disability and will also use IFL.</w:t>
            </w:r>
          </w:p>
          <w:p w14:paraId="5B9472A2" w14:textId="77777777" w:rsidR="00463C1C" w:rsidRDefault="00463C1C">
            <w:pPr>
              <w:spacing w:after="0"/>
              <w:ind w:left="0" w:hanging="2"/>
              <w:jc w:val="both"/>
              <w:rPr>
                <w:rFonts w:ascii="Arial" w:eastAsia="Arial" w:hAnsi="Arial" w:cs="Arial"/>
                <w:highlight w:val="white"/>
              </w:rPr>
            </w:pPr>
          </w:p>
          <w:p w14:paraId="68FEAA3C" w14:textId="77777777" w:rsidR="00463C1C" w:rsidRDefault="00000000">
            <w:pPr>
              <w:spacing w:after="0"/>
              <w:ind w:left="0" w:hanging="2"/>
              <w:jc w:val="both"/>
              <w:rPr>
                <w:rFonts w:ascii="Arial" w:eastAsia="Arial" w:hAnsi="Arial" w:cs="Arial"/>
                <w:highlight w:val="white"/>
              </w:rPr>
            </w:pPr>
            <w:r>
              <w:rPr>
                <w:rFonts w:ascii="Arial" w:eastAsia="Arial" w:hAnsi="Arial" w:cs="Arial"/>
                <w:highlight w:val="white"/>
              </w:rPr>
              <w:t xml:space="preserve">Deaf Australia is the peak body for d/Deaf Australians, representing culturally Deaf Australians and hard-of-hearing people. It is a Deaf-led advocacy and information organisation that supports Deaf, Deafblind, and </w:t>
            </w:r>
            <w:r>
              <w:rPr>
                <w:rFonts w:ascii="Arial" w:eastAsia="Arial" w:hAnsi="Arial" w:cs="Arial"/>
                <w:highlight w:val="white"/>
              </w:rPr>
              <w:lastRenderedPageBreak/>
              <w:t>hard-of-hearing people and others who use Auslan (Australian Sign Language) as their language of preference. They regularly organise events, such as the Colin Allen AM Lecture, to celebrate Deaf culture and to acknowledge the Australian Deaf Community, which can include:</w:t>
            </w:r>
          </w:p>
          <w:p w14:paraId="0CD5A388" w14:textId="77777777" w:rsidR="00463C1C" w:rsidRDefault="00463C1C">
            <w:pPr>
              <w:spacing w:after="0"/>
              <w:ind w:left="0" w:hanging="2"/>
              <w:jc w:val="both"/>
              <w:rPr>
                <w:rFonts w:ascii="Arial" w:eastAsia="Arial" w:hAnsi="Arial" w:cs="Arial"/>
                <w:highlight w:val="white"/>
              </w:rPr>
            </w:pPr>
          </w:p>
          <w:p w14:paraId="7AEF42D0" w14:textId="77777777" w:rsidR="00463C1C" w:rsidRDefault="00000000">
            <w:pPr>
              <w:numPr>
                <w:ilvl w:val="0"/>
                <w:numId w:val="2"/>
              </w:numPr>
              <w:spacing w:after="0"/>
              <w:ind w:left="0" w:hanging="2"/>
              <w:jc w:val="both"/>
              <w:rPr>
                <w:rFonts w:ascii="Arial" w:eastAsia="Arial" w:hAnsi="Arial" w:cs="Arial"/>
                <w:highlight w:val="white"/>
              </w:rPr>
            </w:pPr>
            <w:r>
              <w:rPr>
                <w:rFonts w:ascii="Arial" w:eastAsia="Arial" w:hAnsi="Arial" w:cs="Arial"/>
                <w:highlight w:val="white"/>
              </w:rPr>
              <w:t>People who use Auslan (whether they are deaf or hearing);</w:t>
            </w:r>
          </w:p>
          <w:p w14:paraId="47E31E6C" w14:textId="77777777" w:rsidR="00463C1C" w:rsidRDefault="00000000">
            <w:pPr>
              <w:numPr>
                <w:ilvl w:val="0"/>
                <w:numId w:val="2"/>
              </w:numPr>
              <w:spacing w:after="0"/>
              <w:ind w:left="0" w:hanging="2"/>
              <w:jc w:val="both"/>
              <w:rPr>
                <w:rFonts w:ascii="Arial" w:eastAsia="Arial" w:hAnsi="Arial" w:cs="Arial"/>
                <w:highlight w:val="white"/>
              </w:rPr>
            </w:pPr>
            <w:r>
              <w:rPr>
                <w:rFonts w:ascii="Arial" w:eastAsia="Arial" w:hAnsi="Arial" w:cs="Arial"/>
                <w:highlight w:val="white"/>
              </w:rPr>
              <w:t>People deaf from birth or an early age;</w:t>
            </w:r>
          </w:p>
          <w:p w14:paraId="6F12EE9F" w14:textId="77777777" w:rsidR="00463C1C" w:rsidRDefault="00000000">
            <w:pPr>
              <w:numPr>
                <w:ilvl w:val="0"/>
                <w:numId w:val="2"/>
              </w:numPr>
              <w:spacing w:after="0"/>
              <w:ind w:left="0" w:hanging="2"/>
              <w:jc w:val="both"/>
              <w:rPr>
                <w:rFonts w:ascii="Arial" w:eastAsia="Arial" w:hAnsi="Arial" w:cs="Arial"/>
                <w:highlight w:val="white"/>
              </w:rPr>
            </w:pPr>
            <w:r>
              <w:rPr>
                <w:rFonts w:ascii="Arial" w:eastAsia="Arial" w:hAnsi="Arial" w:cs="Arial"/>
                <w:highlight w:val="white"/>
              </w:rPr>
              <w:t>Hearing Children of Deaf Adults (‘CODAs’); and</w:t>
            </w:r>
          </w:p>
          <w:p w14:paraId="44593E5A" w14:textId="77777777" w:rsidR="00463C1C" w:rsidRDefault="00000000">
            <w:pPr>
              <w:numPr>
                <w:ilvl w:val="0"/>
                <w:numId w:val="2"/>
              </w:numPr>
              <w:spacing w:after="0"/>
              <w:ind w:left="0" w:hanging="2"/>
              <w:jc w:val="both"/>
              <w:rPr>
                <w:rFonts w:ascii="Arial" w:eastAsia="Arial" w:hAnsi="Arial" w:cs="Arial"/>
                <w:highlight w:val="white"/>
              </w:rPr>
            </w:pPr>
            <w:r>
              <w:rPr>
                <w:rFonts w:ascii="Arial" w:eastAsia="Arial" w:hAnsi="Arial" w:cs="Arial"/>
                <w:highlight w:val="white"/>
              </w:rPr>
              <w:t>Some hearing people who live and work with Deaf people.</w:t>
            </w:r>
          </w:p>
          <w:p w14:paraId="2EB9CE73" w14:textId="77777777" w:rsidR="00463C1C" w:rsidRDefault="00463C1C">
            <w:pPr>
              <w:spacing w:after="0"/>
              <w:ind w:left="0" w:hanging="2"/>
              <w:jc w:val="both"/>
              <w:rPr>
                <w:rFonts w:ascii="Arial" w:eastAsia="Arial" w:hAnsi="Arial" w:cs="Arial"/>
                <w:highlight w:val="white"/>
              </w:rPr>
            </w:pPr>
          </w:p>
          <w:p w14:paraId="2931DDC2" w14:textId="77777777" w:rsidR="00463C1C" w:rsidRDefault="00000000">
            <w:pPr>
              <w:spacing w:after="0"/>
              <w:ind w:left="0" w:hanging="2"/>
              <w:jc w:val="both"/>
              <w:rPr>
                <w:rFonts w:ascii="Arial" w:eastAsia="Arial" w:hAnsi="Arial" w:cs="Arial"/>
                <w:highlight w:val="white"/>
              </w:rPr>
            </w:pPr>
            <w:r>
              <w:rPr>
                <w:rFonts w:ascii="Arial" w:eastAsia="Arial" w:hAnsi="Arial" w:cs="Arial"/>
                <w:highlight w:val="white"/>
              </w:rPr>
              <w:t>According to the Deaf Australia and the Australian Deaf Community, to acknowledge Deaf culture is to acknowledge the intertwining of language and culture — and to acknowledge that members of the Australian Deaf Community identify as members of a language group or a linguistic and cultural minority group.</w:t>
            </w:r>
            <w:r>
              <w:rPr>
                <w:rFonts w:ascii="Arial" w:eastAsia="Arial" w:hAnsi="Arial" w:cs="Arial"/>
                <w:highlight w:val="white"/>
                <w:vertAlign w:val="superscript"/>
              </w:rPr>
              <w:footnoteReference w:id="1"/>
            </w:r>
            <w:r>
              <w:rPr>
                <w:rFonts w:ascii="Arial" w:eastAsia="Arial" w:hAnsi="Arial" w:cs="Arial"/>
                <w:highlight w:val="white"/>
              </w:rPr>
              <w:t xml:space="preserve"> Many Deaf adults with Deaf children disagree with a societal assessment of Deaf children as ‘lesser-than’ or ‘disabled’, hence why they often characterise being Deaf as being </w:t>
            </w:r>
            <w:r>
              <w:rPr>
                <w:rFonts w:ascii="Arial" w:eastAsia="Arial" w:hAnsi="Arial" w:cs="Arial"/>
                <w:highlight w:val="white"/>
              </w:rPr>
              <w:lastRenderedPageBreak/>
              <w:t>a part of a culture rather than having a disability per se.</w:t>
            </w:r>
            <w:r>
              <w:rPr>
                <w:rFonts w:ascii="Arial" w:eastAsia="Arial" w:hAnsi="Arial" w:cs="Arial"/>
                <w:highlight w:val="white"/>
                <w:vertAlign w:val="superscript"/>
              </w:rPr>
              <w:footnoteReference w:id="2"/>
            </w:r>
          </w:p>
          <w:p w14:paraId="791515FE" w14:textId="77777777" w:rsidR="00463C1C" w:rsidRDefault="00463C1C">
            <w:pPr>
              <w:spacing w:after="0"/>
              <w:ind w:left="0" w:hanging="2"/>
              <w:jc w:val="both"/>
              <w:rPr>
                <w:rFonts w:ascii="Arial" w:eastAsia="Arial" w:hAnsi="Arial" w:cs="Arial"/>
                <w:highlight w:val="white"/>
              </w:rPr>
            </w:pPr>
          </w:p>
          <w:p w14:paraId="38F9AC28" w14:textId="77777777" w:rsidR="00463C1C" w:rsidRDefault="00000000">
            <w:pPr>
              <w:spacing w:after="0"/>
              <w:ind w:left="0" w:hanging="2"/>
              <w:jc w:val="both"/>
              <w:rPr>
                <w:rFonts w:ascii="Arial" w:eastAsia="Arial" w:hAnsi="Arial" w:cs="Arial"/>
                <w:highlight w:val="white"/>
              </w:rPr>
            </w:pPr>
            <w:r>
              <w:rPr>
                <w:rFonts w:ascii="Arial" w:eastAsia="Arial" w:hAnsi="Arial" w:cs="Arial"/>
                <w:highlight w:val="white"/>
              </w:rPr>
              <w:t xml:space="preserve">Visit: </w:t>
            </w:r>
            <w:hyperlink r:id="rId19">
              <w:r>
                <w:rPr>
                  <w:rFonts w:ascii="Arial" w:eastAsia="Arial" w:hAnsi="Arial" w:cs="Arial"/>
                  <w:color w:val="1155CC"/>
                  <w:highlight w:val="white"/>
                  <w:u w:val="single"/>
                </w:rPr>
                <w:t>https://deafaustralia.org.au</w:t>
              </w:r>
            </w:hyperlink>
          </w:p>
          <w:p w14:paraId="5D4E502C" w14:textId="77777777" w:rsidR="00463C1C" w:rsidRDefault="00000000">
            <w:pPr>
              <w:spacing w:after="0"/>
              <w:ind w:left="0" w:hanging="2"/>
              <w:jc w:val="both"/>
              <w:rPr>
                <w:rFonts w:ascii="Arial" w:eastAsia="Arial" w:hAnsi="Arial" w:cs="Arial"/>
                <w:highlight w:val="white"/>
              </w:rPr>
            </w:pPr>
            <w:r>
              <w:rPr>
                <w:rFonts w:ascii="Arial" w:eastAsia="Arial" w:hAnsi="Arial" w:cs="Arial"/>
                <w:highlight w:val="white"/>
              </w:rPr>
              <w:t xml:space="preserve">Contact:  </w:t>
            </w:r>
            <w:hyperlink r:id="rId20">
              <w:r>
                <w:rPr>
                  <w:rFonts w:ascii="Arial" w:eastAsia="Arial" w:hAnsi="Arial" w:cs="Arial"/>
                  <w:color w:val="1155CC"/>
                  <w:highlight w:val="white"/>
                  <w:u w:val="single"/>
                </w:rPr>
                <w:t>info@deafaustralia.org.au</w:t>
              </w:r>
            </w:hyperlink>
            <w:r>
              <w:rPr>
                <w:rFonts w:ascii="Arial" w:eastAsia="Arial" w:hAnsi="Arial" w:cs="Arial"/>
                <w:highlight w:val="white"/>
              </w:rPr>
              <w:t xml:space="preserve"> &amp; </w:t>
            </w:r>
            <w:hyperlink r:id="rId21">
              <w:r>
                <w:rPr>
                  <w:rFonts w:ascii="Arial" w:eastAsia="Arial" w:hAnsi="Arial" w:cs="Arial"/>
                  <w:color w:val="1155CC"/>
                  <w:highlight w:val="white"/>
                  <w:u w:val="single"/>
                </w:rPr>
                <w:t>https://deafaustralia.org.au/contact</w:t>
              </w:r>
            </w:hyperlink>
            <w:r>
              <w:rPr>
                <w:rFonts w:ascii="Arial" w:eastAsia="Arial" w:hAnsi="Arial" w:cs="Arial"/>
                <w:highlight w:val="white"/>
              </w:rPr>
              <w:t>.</w:t>
            </w:r>
          </w:p>
          <w:p w14:paraId="2066996E" w14:textId="77777777" w:rsidR="00463C1C" w:rsidRDefault="00463C1C">
            <w:pPr>
              <w:widowControl w:val="0"/>
              <w:spacing w:after="0" w:line="240" w:lineRule="auto"/>
              <w:ind w:left="0" w:hanging="2"/>
              <w:rPr>
                <w:rFonts w:ascii="Arial" w:eastAsia="Arial" w:hAnsi="Arial" w:cs="Arial"/>
              </w:rPr>
            </w:pPr>
          </w:p>
        </w:tc>
      </w:tr>
      <w:tr w:rsidR="00463C1C" w14:paraId="09D76CE1" w14:textId="77777777">
        <w:tc>
          <w:tcPr>
            <w:tcW w:w="3000" w:type="dxa"/>
            <w:shd w:val="clear" w:color="auto" w:fill="auto"/>
            <w:tcMar>
              <w:top w:w="100" w:type="dxa"/>
              <w:left w:w="100" w:type="dxa"/>
              <w:bottom w:w="100" w:type="dxa"/>
              <w:right w:w="100" w:type="dxa"/>
            </w:tcMar>
          </w:tcPr>
          <w:p w14:paraId="203A8E1A"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lastRenderedPageBreak/>
              <w:t>Confined to a wheelchair / Wheelchair-bound</w:t>
            </w:r>
          </w:p>
        </w:tc>
        <w:tc>
          <w:tcPr>
            <w:tcW w:w="2595" w:type="dxa"/>
            <w:shd w:val="clear" w:color="auto" w:fill="auto"/>
            <w:tcMar>
              <w:top w:w="100" w:type="dxa"/>
              <w:left w:w="100" w:type="dxa"/>
              <w:bottom w:w="100" w:type="dxa"/>
              <w:right w:w="100" w:type="dxa"/>
            </w:tcMar>
          </w:tcPr>
          <w:p w14:paraId="016A4C99"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Uses a wheelchair / wheelchair user</w:t>
            </w:r>
          </w:p>
        </w:tc>
        <w:tc>
          <w:tcPr>
            <w:tcW w:w="3405" w:type="dxa"/>
            <w:shd w:val="clear" w:color="auto" w:fill="auto"/>
            <w:tcMar>
              <w:top w:w="100" w:type="dxa"/>
              <w:left w:w="100" w:type="dxa"/>
              <w:bottom w:w="100" w:type="dxa"/>
              <w:right w:w="100" w:type="dxa"/>
            </w:tcMar>
          </w:tcPr>
          <w:p w14:paraId="66093231"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Terminology like this can be offensive to some people as the experience of using a wheelchair can actually be liberating — as opposed to confining — by enabling greater freedom of mobility.</w:t>
            </w:r>
          </w:p>
        </w:tc>
      </w:tr>
      <w:tr w:rsidR="00463C1C" w14:paraId="4246DB79" w14:textId="77777777">
        <w:tc>
          <w:tcPr>
            <w:tcW w:w="3000" w:type="dxa"/>
            <w:shd w:val="clear" w:color="auto" w:fill="auto"/>
            <w:tcMar>
              <w:top w:w="100" w:type="dxa"/>
              <w:left w:w="100" w:type="dxa"/>
              <w:bottom w:w="100" w:type="dxa"/>
              <w:right w:w="100" w:type="dxa"/>
            </w:tcMar>
          </w:tcPr>
          <w:p w14:paraId="2878A1F9"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Handicapped / Handicapable / Differently-abled</w:t>
            </w:r>
          </w:p>
        </w:tc>
        <w:tc>
          <w:tcPr>
            <w:tcW w:w="2595" w:type="dxa"/>
            <w:shd w:val="clear" w:color="auto" w:fill="auto"/>
            <w:tcMar>
              <w:top w:w="100" w:type="dxa"/>
              <w:left w:w="100" w:type="dxa"/>
              <w:bottom w:w="100" w:type="dxa"/>
              <w:right w:w="100" w:type="dxa"/>
            </w:tcMar>
          </w:tcPr>
          <w:p w14:paraId="36EA83B5"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Disabled person, person with disability, accessible parking, accessibility parking, disabled-only parking</w:t>
            </w:r>
          </w:p>
        </w:tc>
        <w:tc>
          <w:tcPr>
            <w:tcW w:w="3405" w:type="dxa"/>
            <w:shd w:val="clear" w:color="auto" w:fill="auto"/>
            <w:tcMar>
              <w:top w:w="100" w:type="dxa"/>
              <w:left w:w="100" w:type="dxa"/>
              <w:bottom w:w="100" w:type="dxa"/>
              <w:right w:w="100" w:type="dxa"/>
            </w:tcMar>
          </w:tcPr>
          <w:p w14:paraId="5DCB7DB6"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This term can be an euphemistic term for people with physical or mobility-related disability. Treating disability as a ‘dirty word’ can perpetuate stigma and structural ableism.</w:t>
            </w:r>
          </w:p>
          <w:p w14:paraId="62A2897B" w14:textId="77777777" w:rsidR="00463C1C" w:rsidRDefault="00463C1C">
            <w:pPr>
              <w:widowControl w:val="0"/>
              <w:spacing w:after="0" w:line="240" w:lineRule="auto"/>
              <w:ind w:left="0" w:hanging="2"/>
              <w:rPr>
                <w:rFonts w:ascii="Arial" w:eastAsia="Arial" w:hAnsi="Arial" w:cs="Arial"/>
              </w:rPr>
            </w:pPr>
          </w:p>
          <w:p w14:paraId="10810FC6"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 xml:space="preserve">See also the </w:t>
            </w:r>
            <w:hyperlink r:id="rId22">
              <w:r>
                <w:rPr>
                  <w:rFonts w:ascii="Arial" w:eastAsia="Arial" w:hAnsi="Arial" w:cs="Arial"/>
                  <w:color w:val="1155CC"/>
                  <w:u w:val="single"/>
                </w:rPr>
                <w:t>Disability Language Style Guide</w:t>
              </w:r>
            </w:hyperlink>
            <w:r>
              <w:rPr>
                <w:rFonts w:ascii="Arial" w:eastAsia="Arial" w:hAnsi="Arial" w:cs="Arial"/>
              </w:rPr>
              <w:t xml:space="preserve"> from the National Center on Disability and Journalism, as well as the </w:t>
            </w:r>
            <w:r>
              <w:rPr>
                <w:rFonts w:ascii="Arial" w:eastAsia="Arial" w:hAnsi="Arial" w:cs="Arial"/>
                <w:b/>
              </w:rPr>
              <w:t>#SayTheWord</w:t>
            </w:r>
            <w:r>
              <w:rPr>
                <w:rFonts w:ascii="Arial" w:eastAsia="Arial" w:hAnsi="Arial" w:cs="Arial"/>
              </w:rPr>
              <w:t xml:space="preserve"> Movement as </w:t>
            </w:r>
            <w:hyperlink r:id="rId23">
              <w:r>
                <w:rPr>
                  <w:rFonts w:ascii="Arial" w:eastAsia="Arial" w:hAnsi="Arial" w:cs="Arial"/>
                  <w:color w:val="1155CC"/>
                  <w:u w:val="single"/>
                </w:rPr>
                <w:t>articulated by Vanderbilt University</w:t>
              </w:r>
            </w:hyperlink>
            <w:r>
              <w:rPr>
                <w:rFonts w:ascii="Arial" w:eastAsia="Arial" w:hAnsi="Arial" w:cs="Arial"/>
              </w:rPr>
              <w:t>.</w:t>
            </w:r>
          </w:p>
        </w:tc>
      </w:tr>
      <w:tr w:rsidR="00463C1C" w14:paraId="49C128C3" w14:textId="77777777">
        <w:tc>
          <w:tcPr>
            <w:tcW w:w="3000" w:type="dxa"/>
            <w:shd w:val="clear" w:color="auto" w:fill="auto"/>
            <w:tcMar>
              <w:top w:w="100" w:type="dxa"/>
              <w:left w:w="100" w:type="dxa"/>
              <w:bottom w:w="100" w:type="dxa"/>
              <w:right w:w="100" w:type="dxa"/>
            </w:tcMar>
          </w:tcPr>
          <w:p w14:paraId="335E81CE"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Special / Special Education (‘Special Ed’)</w:t>
            </w:r>
          </w:p>
          <w:p w14:paraId="4BA6954D" w14:textId="77777777" w:rsidR="00463C1C" w:rsidRDefault="00463C1C">
            <w:pPr>
              <w:widowControl w:val="0"/>
              <w:spacing w:after="0" w:line="240" w:lineRule="auto"/>
              <w:ind w:left="0" w:hanging="2"/>
              <w:rPr>
                <w:rFonts w:ascii="Arial" w:eastAsia="Arial" w:hAnsi="Arial" w:cs="Arial"/>
              </w:rPr>
            </w:pPr>
          </w:p>
          <w:p w14:paraId="50BA802A"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Special Interests / Special Needs</w:t>
            </w:r>
          </w:p>
        </w:tc>
        <w:tc>
          <w:tcPr>
            <w:tcW w:w="2595" w:type="dxa"/>
            <w:shd w:val="clear" w:color="auto" w:fill="auto"/>
            <w:tcMar>
              <w:top w:w="100" w:type="dxa"/>
              <w:left w:w="100" w:type="dxa"/>
              <w:bottom w:w="100" w:type="dxa"/>
              <w:right w:w="100" w:type="dxa"/>
            </w:tcMar>
          </w:tcPr>
          <w:p w14:paraId="1DD3B941"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Disabled person with individualised support needs, person with disability with individualised support needs / Inclusive Education</w:t>
            </w:r>
          </w:p>
          <w:p w14:paraId="5E76BEF7" w14:textId="77777777" w:rsidR="00463C1C" w:rsidRDefault="00463C1C">
            <w:pPr>
              <w:widowControl w:val="0"/>
              <w:spacing w:after="0" w:line="240" w:lineRule="auto"/>
              <w:ind w:left="0" w:hanging="2"/>
              <w:rPr>
                <w:rFonts w:ascii="Arial" w:eastAsia="Arial" w:hAnsi="Arial" w:cs="Arial"/>
              </w:rPr>
            </w:pPr>
          </w:p>
          <w:p w14:paraId="0C88E718"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 xml:space="preserve">Focused interests / </w:t>
            </w:r>
            <w:r>
              <w:rPr>
                <w:rFonts w:ascii="Arial" w:eastAsia="Arial" w:hAnsi="Arial" w:cs="Arial"/>
              </w:rPr>
              <w:lastRenderedPageBreak/>
              <w:t>Focussed needs or Disability support needs</w:t>
            </w:r>
          </w:p>
          <w:p w14:paraId="7B1643A1" w14:textId="77777777" w:rsidR="00463C1C" w:rsidRDefault="00463C1C">
            <w:pPr>
              <w:widowControl w:val="0"/>
              <w:spacing w:after="0" w:line="240" w:lineRule="auto"/>
              <w:ind w:left="0" w:hanging="2"/>
              <w:rPr>
                <w:rFonts w:ascii="Arial" w:eastAsia="Arial" w:hAnsi="Arial" w:cs="Arial"/>
              </w:rPr>
            </w:pPr>
          </w:p>
          <w:p w14:paraId="202D755F" w14:textId="77777777" w:rsidR="00463C1C" w:rsidRDefault="00463C1C">
            <w:pPr>
              <w:widowControl w:val="0"/>
              <w:spacing w:after="0" w:line="240" w:lineRule="auto"/>
              <w:ind w:left="0" w:hanging="2"/>
              <w:rPr>
                <w:rFonts w:ascii="Arial" w:eastAsia="Arial" w:hAnsi="Arial" w:cs="Arial"/>
              </w:rPr>
            </w:pPr>
          </w:p>
        </w:tc>
        <w:tc>
          <w:tcPr>
            <w:tcW w:w="3405" w:type="dxa"/>
            <w:shd w:val="clear" w:color="auto" w:fill="auto"/>
            <w:tcMar>
              <w:top w:w="100" w:type="dxa"/>
              <w:left w:w="100" w:type="dxa"/>
              <w:bottom w:w="100" w:type="dxa"/>
              <w:right w:w="100" w:type="dxa"/>
            </w:tcMar>
          </w:tcPr>
          <w:p w14:paraId="0AFC76FC"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lastRenderedPageBreak/>
              <w:t>The term ‘special needs’ and ‘special education’ can be found in the education sector as an euphemism for disability and disability support needs. Research indicates that many people find these terms quite paternalistic and offensive.</w:t>
            </w:r>
            <w:r>
              <w:rPr>
                <w:rFonts w:ascii="Arial" w:eastAsia="Arial" w:hAnsi="Arial" w:cs="Arial"/>
                <w:vertAlign w:val="superscript"/>
              </w:rPr>
              <w:footnoteReference w:id="3"/>
            </w:r>
          </w:p>
          <w:p w14:paraId="126D613D" w14:textId="77777777" w:rsidR="00463C1C" w:rsidRDefault="00463C1C">
            <w:pPr>
              <w:widowControl w:val="0"/>
              <w:spacing w:after="0" w:line="240" w:lineRule="auto"/>
              <w:ind w:left="0" w:hanging="2"/>
              <w:rPr>
                <w:rFonts w:ascii="Arial" w:eastAsia="Arial" w:hAnsi="Arial" w:cs="Arial"/>
              </w:rPr>
            </w:pPr>
          </w:p>
          <w:p w14:paraId="093823C6"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lastRenderedPageBreak/>
              <w:t>Although acknowledging ‘</w:t>
            </w:r>
            <w:hyperlink r:id="rId24">
              <w:r>
                <w:rPr>
                  <w:rFonts w:ascii="Arial" w:eastAsia="Arial" w:hAnsi="Arial" w:cs="Arial"/>
                  <w:color w:val="1155CC"/>
                  <w:u w:val="single"/>
                </w:rPr>
                <w:t>Twice Exceptionality (‘2e’)</w:t>
              </w:r>
            </w:hyperlink>
            <w:r>
              <w:rPr>
                <w:rFonts w:ascii="Arial" w:eastAsia="Arial" w:hAnsi="Arial" w:cs="Arial"/>
              </w:rPr>
              <w:t>’ and the prevalence of bullying &amp; discrimination experienced in classrooms remains relevant,</w:t>
            </w:r>
            <w:r>
              <w:rPr>
                <w:rFonts w:ascii="Arial" w:eastAsia="Arial" w:hAnsi="Arial" w:cs="Arial"/>
                <w:vertAlign w:val="superscript"/>
              </w:rPr>
              <w:footnoteReference w:id="4"/>
            </w:r>
            <w:r>
              <w:rPr>
                <w:rFonts w:ascii="Arial" w:eastAsia="Arial" w:hAnsi="Arial" w:cs="Arial"/>
              </w:rPr>
              <w:t xml:space="preserve"> caution should be exercised with the word ‘special’ as a whole.</w:t>
            </w:r>
          </w:p>
        </w:tc>
      </w:tr>
      <w:tr w:rsidR="00463C1C" w14:paraId="10C69E3F" w14:textId="77777777">
        <w:tc>
          <w:tcPr>
            <w:tcW w:w="3000" w:type="dxa"/>
            <w:shd w:val="clear" w:color="auto" w:fill="auto"/>
            <w:tcMar>
              <w:top w:w="100" w:type="dxa"/>
              <w:left w:w="100" w:type="dxa"/>
              <w:bottom w:w="100" w:type="dxa"/>
              <w:right w:w="100" w:type="dxa"/>
            </w:tcMar>
          </w:tcPr>
          <w:p w14:paraId="1245A5C5"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lastRenderedPageBreak/>
              <w:t>Midg*t (Midg*ts)</w:t>
            </w:r>
          </w:p>
        </w:tc>
        <w:tc>
          <w:tcPr>
            <w:tcW w:w="2595" w:type="dxa"/>
            <w:shd w:val="clear" w:color="auto" w:fill="auto"/>
            <w:tcMar>
              <w:top w:w="100" w:type="dxa"/>
              <w:left w:w="100" w:type="dxa"/>
              <w:bottom w:w="100" w:type="dxa"/>
              <w:right w:w="100" w:type="dxa"/>
            </w:tcMar>
          </w:tcPr>
          <w:p w14:paraId="14F543BF"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Person with dwarfism / Little people / Dwarf (Dwarfs)</w:t>
            </w:r>
          </w:p>
        </w:tc>
        <w:tc>
          <w:tcPr>
            <w:tcW w:w="3405" w:type="dxa"/>
            <w:shd w:val="clear" w:color="auto" w:fill="auto"/>
            <w:tcMar>
              <w:top w:w="100" w:type="dxa"/>
              <w:left w:w="100" w:type="dxa"/>
              <w:bottom w:w="100" w:type="dxa"/>
              <w:right w:w="100" w:type="dxa"/>
            </w:tcMar>
          </w:tcPr>
          <w:p w14:paraId="2034AD50"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 xml:space="preserve">The disability community considers the term ‘midg*t’ — or ‘m’ word — to be offensive, and the LPA has issued a </w:t>
            </w:r>
            <w:hyperlink r:id="rId25">
              <w:r>
                <w:rPr>
                  <w:rFonts w:ascii="Arial" w:eastAsia="Arial" w:hAnsi="Arial" w:cs="Arial"/>
                  <w:color w:val="1155CC"/>
                  <w:u w:val="single"/>
                </w:rPr>
                <w:t>public statement against this term</w:t>
              </w:r>
            </w:hyperlink>
            <w:r>
              <w:rPr>
                <w:rFonts w:ascii="Arial" w:eastAsia="Arial" w:hAnsi="Arial" w:cs="Arial"/>
              </w:rPr>
              <w:t>.</w:t>
            </w:r>
          </w:p>
          <w:p w14:paraId="1FE98F03" w14:textId="77777777" w:rsidR="00463C1C" w:rsidRDefault="00463C1C">
            <w:pPr>
              <w:widowControl w:val="0"/>
              <w:spacing w:after="0" w:line="240" w:lineRule="auto"/>
              <w:ind w:left="0" w:hanging="2"/>
              <w:rPr>
                <w:rFonts w:ascii="Arial" w:eastAsia="Arial" w:hAnsi="Arial" w:cs="Arial"/>
              </w:rPr>
            </w:pPr>
          </w:p>
          <w:p w14:paraId="5E201B5D" w14:textId="77777777" w:rsidR="00463C1C" w:rsidRDefault="00000000">
            <w:pPr>
              <w:widowControl w:val="0"/>
              <w:spacing w:after="0" w:line="240" w:lineRule="auto"/>
              <w:ind w:left="0" w:hanging="2"/>
              <w:rPr>
                <w:rFonts w:ascii="Arial" w:eastAsia="Arial" w:hAnsi="Arial" w:cs="Arial"/>
              </w:rPr>
            </w:pPr>
            <w:r>
              <w:rPr>
                <w:rFonts w:ascii="Arial" w:eastAsia="Arial" w:hAnsi="Arial" w:cs="Arial"/>
              </w:rPr>
              <w:t xml:space="preserve">When in doubt, please consult the </w:t>
            </w:r>
            <w:hyperlink r:id="rId26">
              <w:r>
                <w:rPr>
                  <w:rFonts w:ascii="Arial" w:eastAsia="Arial" w:hAnsi="Arial" w:cs="Arial"/>
                  <w:color w:val="1155CC"/>
                  <w:u w:val="single"/>
                </w:rPr>
                <w:t>Disability Language Style Guide</w:t>
              </w:r>
            </w:hyperlink>
            <w:r>
              <w:rPr>
                <w:rFonts w:ascii="Arial" w:eastAsia="Arial" w:hAnsi="Arial" w:cs="Arial"/>
              </w:rPr>
              <w:t xml:space="preserve"> from the National Center on Disability and Journalism and ask the person in question how they would like to be described.</w:t>
            </w:r>
          </w:p>
        </w:tc>
      </w:tr>
    </w:tbl>
    <w:p w14:paraId="2EB19A19" w14:textId="77777777" w:rsidR="00463C1C" w:rsidRDefault="00463C1C">
      <w:pPr>
        <w:spacing w:after="0"/>
        <w:ind w:left="0" w:hanging="2"/>
        <w:jc w:val="both"/>
        <w:rPr>
          <w:rFonts w:ascii="Arial" w:eastAsia="Arial" w:hAnsi="Arial" w:cs="Arial"/>
        </w:rPr>
      </w:pPr>
    </w:p>
    <w:p w14:paraId="6E71884C" w14:textId="77777777" w:rsidR="00463C1C" w:rsidRDefault="00000000">
      <w:pPr>
        <w:spacing w:after="0"/>
        <w:rPr>
          <w:rFonts w:ascii="Arial" w:eastAsia="Arial" w:hAnsi="Arial" w:cs="Arial"/>
        </w:rPr>
      </w:pPr>
      <w:r>
        <w:br w:type="page"/>
      </w:r>
    </w:p>
    <w:p w14:paraId="1486B5F0" w14:textId="77777777" w:rsidR="00463C1C" w:rsidRDefault="00000000">
      <w:pPr>
        <w:spacing w:after="0"/>
        <w:rPr>
          <w:rFonts w:ascii="Arial" w:eastAsia="Arial" w:hAnsi="Arial" w:cs="Arial"/>
        </w:rPr>
      </w:pPr>
      <w:r>
        <w:rPr>
          <w:rFonts w:ascii="Arial" w:eastAsia="Arial" w:hAnsi="Arial" w:cs="Arial"/>
          <w:b/>
        </w:rPr>
        <w:lastRenderedPageBreak/>
        <w:t xml:space="preserve">References &amp; Acknowledgements: </w:t>
      </w:r>
    </w:p>
    <w:p w14:paraId="0EFE6213" w14:textId="77777777" w:rsidR="00463C1C" w:rsidRDefault="00463C1C">
      <w:pPr>
        <w:spacing w:after="0"/>
        <w:rPr>
          <w:rFonts w:ascii="Arial" w:eastAsia="Arial" w:hAnsi="Arial" w:cs="Arial"/>
        </w:rPr>
      </w:pPr>
    </w:p>
    <w:p w14:paraId="50053AFC" w14:textId="77777777" w:rsidR="00463C1C" w:rsidRDefault="00000000">
      <w:pPr>
        <w:spacing w:after="0"/>
        <w:ind w:left="0" w:hanging="2"/>
        <w:rPr>
          <w:rFonts w:ascii="Arial" w:eastAsia="Arial" w:hAnsi="Arial" w:cs="Arial"/>
          <w:highlight w:val="white"/>
        </w:rPr>
      </w:pPr>
      <w:r>
        <w:rPr>
          <w:rFonts w:ascii="Arial" w:eastAsia="Arial" w:hAnsi="Arial" w:cs="Arial"/>
        </w:rPr>
        <w:t xml:space="preserve">This language guide leverages the work from not only the Melbourne University Law Students’ Society (‘MULSS’) and their </w:t>
      </w:r>
      <w:hyperlink r:id="rId27">
        <w:r>
          <w:rPr>
            <w:rFonts w:ascii="Arial" w:eastAsia="Arial" w:hAnsi="Arial" w:cs="Arial"/>
            <w:color w:val="1155CC"/>
            <w:u w:val="single"/>
          </w:rPr>
          <w:t>Statement on Ableism</w:t>
        </w:r>
      </w:hyperlink>
      <w:r>
        <w:rPr>
          <w:rFonts w:ascii="Arial" w:eastAsia="Arial" w:hAnsi="Arial" w:cs="Arial"/>
        </w:rPr>
        <w:t xml:space="preserve"> but also </w:t>
      </w:r>
      <w:r>
        <w:rPr>
          <w:rFonts w:ascii="Arial" w:eastAsia="Arial" w:hAnsi="Arial" w:cs="Arial"/>
          <w:highlight w:val="white"/>
        </w:rPr>
        <w:t>Amaze Australia’s</w:t>
      </w:r>
      <w:r>
        <w:rPr>
          <w:rFonts w:ascii="Arial" w:eastAsia="Arial" w:hAnsi="Arial" w:cs="Arial"/>
        </w:rPr>
        <w:t xml:space="preserve"> </w:t>
      </w:r>
      <w:hyperlink r:id="rId28">
        <w:r>
          <w:rPr>
            <w:rFonts w:ascii="Arial" w:eastAsia="Arial" w:hAnsi="Arial" w:cs="Arial"/>
            <w:color w:val="1155CC"/>
            <w:highlight w:val="white"/>
            <w:u w:val="single"/>
          </w:rPr>
          <w:t>language guide / media guide</w:t>
        </w:r>
      </w:hyperlink>
      <w:r>
        <w:rPr>
          <w:rFonts w:ascii="Arial" w:eastAsia="Arial" w:hAnsi="Arial" w:cs="Arial"/>
          <w:highlight w:val="white"/>
        </w:rPr>
        <w:t xml:space="preserve"> on how to discuss autism and the autistic community in alignment with the community’s preference for Identity-First Language (‘IFL’).</w:t>
      </w:r>
    </w:p>
    <w:p w14:paraId="73B4A558" w14:textId="77777777" w:rsidR="00463C1C" w:rsidRDefault="00463C1C">
      <w:pPr>
        <w:spacing w:after="0"/>
        <w:jc w:val="both"/>
        <w:rPr>
          <w:rFonts w:ascii="Arial" w:eastAsia="Arial" w:hAnsi="Arial" w:cs="Arial"/>
          <w:highlight w:val="white"/>
        </w:rPr>
      </w:pPr>
    </w:p>
    <w:p w14:paraId="74380BF7" w14:textId="77777777" w:rsidR="00463C1C" w:rsidRDefault="00000000">
      <w:pPr>
        <w:spacing w:after="0"/>
        <w:ind w:left="0" w:hanging="2"/>
        <w:jc w:val="both"/>
        <w:rPr>
          <w:rFonts w:ascii="Arial" w:eastAsia="Arial" w:hAnsi="Arial" w:cs="Arial"/>
          <w:highlight w:val="white"/>
        </w:rPr>
      </w:pPr>
      <w:r>
        <w:rPr>
          <w:rFonts w:ascii="Arial" w:eastAsia="Arial" w:hAnsi="Arial" w:cs="Arial"/>
          <w:highlight w:val="white"/>
        </w:rPr>
        <w:t xml:space="preserve">People With Disabilities Australia (‘PWDA’) has a </w:t>
      </w:r>
      <w:hyperlink r:id="rId29">
        <w:r>
          <w:rPr>
            <w:rFonts w:ascii="Arial" w:eastAsia="Arial" w:hAnsi="Arial" w:cs="Arial"/>
            <w:color w:val="1155CC"/>
            <w:highlight w:val="white"/>
            <w:u w:val="single"/>
          </w:rPr>
          <w:t>language guide / media guide</w:t>
        </w:r>
      </w:hyperlink>
      <w:r>
        <w:rPr>
          <w:rFonts w:ascii="Arial" w:eastAsia="Arial" w:hAnsi="Arial" w:cs="Arial"/>
          <w:highlight w:val="white"/>
        </w:rPr>
        <w:t xml:space="preserve"> for members of the broader community so that they can discuss the disability community, in conjunction with the Victorian Government’s </w:t>
      </w:r>
      <w:hyperlink r:id="rId30">
        <w:r>
          <w:rPr>
            <w:rFonts w:ascii="Arial" w:eastAsia="Arial" w:hAnsi="Arial" w:cs="Arial"/>
            <w:color w:val="1155CC"/>
            <w:highlight w:val="white"/>
            <w:u w:val="single"/>
          </w:rPr>
          <w:t>guide to language and media for discussing disability</w:t>
        </w:r>
      </w:hyperlink>
      <w:r>
        <w:rPr>
          <w:rFonts w:ascii="Arial" w:eastAsia="Arial" w:hAnsi="Arial" w:cs="Arial"/>
          <w:highlight w:val="white"/>
        </w:rPr>
        <w:t>.</w:t>
      </w:r>
    </w:p>
    <w:p w14:paraId="252FEB42" w14:textId="77777777" w:rsidR="00463C1C" w:rsidRDefault="00463C1C">
      <w:pPr>
        <w:spacing w:after="0"/>
        <w:jc w:val="both"/>
        <w:rPr>
          <w:rFonts w:ascii="Arial" w:eastAsia="Arial" w:hAnsi="Arial" w:cs="Arial"/>
          <w:highlight w:val="white"/>
        </w:rPr>
      </w:pPr>
    </w:p>
    <w:p w14:paraId="3A610570" w14:textId="77777777" w:rsidR="00463C1C" w:rsidRDefault="00000000">
      <w:pPr>
        <w:spacing w:after="0"/>
        <w:jc w:val="both"/>
        <w:rPr>
          <w:rFonts w:ascii="Arial" w:eastAsia="Arial" w:hAnsi="Arial" w:cs="Arial"/>
          <w:highlight w:val="white"/>
        </w:rPr>
      </w:pPr>
      <w:r>
        <w:rPr>
          <w:rFonts w:ascii="Arial" w:eastAsia="Arial" w:hAnsi="Arial" w:cs="Arial"/>
          <w:highlight w:val="white"/>
        </w:rPr>
        <w:t>For more information and peruse the hyperlinked references, please request a PDF version of this document.</w:t>
      </w:r>
    </w:p>
    <w:p w14:paraId="371A77F3" w14:textId="77777777" w:rsidR="00463C1C" w:rsidRDefault="00463C1C">
      <w:pPr>
        <w:spacing w:after="0"/>
        <w:jc w:val="both"/>
        <w:rPr>
          <w:rFonts w:ascii="Arial" w:eastAsia="Arial" w:hAnsi="Arial" w:cs="Arial"/>
          <w:highlight w:val="white"/>
        </w:rPr>
      </w:pPr>
    </w:p>
    <w:p w14:paraId="0D786C17" w14:textId="77777777" w:rsidR="00463C1C" w:rsidRDefault="00000000">
      <w:pPr>
        <w:spacing w:after="0"/>
        <w:jc w:val="both"/>
        <w:rPr>
          <w:rFonts w:ascii="Arial" w:eastAsia="Arial" w:hAnsi="Arial" w:cs="Arial"/>
          <w:highlight w:val="white"/>
        </w:rPr>
      </w:pPr>
      <w:r>
        <w:br w:type="page"/>
      </w:r>
    </w:p>
    <w:p w14:paraId="5FD7546B" w14:textId="77777777" w:rsidR="00463C1C" w:rsidRDefault="00000000">
      <w:pPr>
        <w:spacing w:after="0"/>
        <w:jc w:val="both"/>
        <w:rPr>
          <w:rFonts w:ascii="Arial" w:eastAsia="Arial" w:hAnsi="Arial" w:cs="Arial"/>
        </w:rPr>
      </w:pPr>
      <w:r>
        <w:rPr>
          <w:rFonts w:ascii="Arial" w:eastAsia="Arial" w:hAnsi="Arial" w:cs="Arial"/>
          <w:b/>
        </w:rPr>
        <w:lastRenderedPageBreak/>
        <w:t>Endorsements &amp; Signatories:</w:t>
      </w:r>
    </w:p>
    <w:p w14:paraId="62CE7133" w14:textId="77777777" w:rsidR="00463C1C" w:rsidRDefault="00463C1C">
      <w:pPr>
        <w:spacing w:after="0"/>
        <w:rPr>
          <w:rFonts w:ascii="Arial" w:eastAsia="Arial" w:hAnsi="Arial" w:cs="Arial"/>
        </w:rPr>
      </w:pPr>
    </w:p>
    <w:p w14:paraId="24D993AF" w14:textId="77777777" w:rsidR="00463C1C" w:rsidRDefault="00000000">
      <w:pPr>
        <w:spacing w:after="0"/>
        <w:rPr>
          <w:rFonts w:ascii="Arial" w:eastAsia="Arial" w:hAnsi="Arial" w:cs="Arial"/>
        </w:rPr>
      </w:pPr>
      <w:r>
        <w:rPr>
          <w:rFonts w:ascii="Arial" w:eastAsia="Arial" w:hAnsi="Arial" w:cs="Arial"/>
        </w:rPr>
        <w:t>Sydney University Law Society (‘SULS’)</w:t>
      </w:r>
    </w:p>
    <w:p w14:paraId="4A037877" w14:textId="77777777" w:rsidR="00463C1C" w:rsidRDefault="00000000">
      <w:pPr>
        <w:spacing w:after="0"/>
        <w:rPr>
          <w:rFonts w:ascii="Arial" w:eastAsia="Arial" w:hAnsi="Arial" w:cs="Arial"/>
        </w:rPr>
      </w:pPr>
      <w:r>
        <w:rPr>
          <w:rFonts w:ascii="Arial" w:eastAsia="Arial" w:hAnsi="Arial" w:cs="Arial"/>
        </w:rPr>
        <w:t>National Union of Students (‘NUS’)</w:t>
      </w:r>
    </w:p>
    <w:p w14:paraId="0231498C" w14:textId="77777777" w:rsidR="00463C1C" w:rsidRDefault="00000000">
      <w:pPr>
        <w:spacing w:after="0"/>
        <w:rPr>
          <w:rFonts w:ascii="Arial" w:eastAsia="Arial" w:hAnsi="Arial" w:cs="Arial"/>
        </w:rPr>
      </w:pPr>
      <w:r>
        <w:rPr>
          <w:rFonts w:ascii="Arial" w:eastAsia="Arial" w:hAnsi="Arial" w:cs="Arial"/>
        </w:rPr>
        <w:t>Melbourne University Law Students’ Society (‘MULSS’)</w:t>
      </w:r>
    </w:p>
    <w:p w14:paraId="37DF2AF2" w14:textId="77777777" w:rsidR="00463C1C" w:rsidRDefault="00463C1C">
      <w:pPr>
        <w:spacing w:after="0"/>
        <w:rPr>
          <w:rFonts w:ascii="Arial" w:eastAsia="Arial" w:hAnsi="Arial" w:cs="Arial"/>
        </w:rPr>
      </w:pPr>
    </w:p>
    <w:p w14:paraId="077F4A68" w14:textId="77777777" w:rsidR="00463C1C" w:rsidRDefault="00000000">
      <w:pPr>
        <w:spacing w:after="0"/>
        <w:rPr>
          <w:rFonts w:ascii="Arial" w:eastAsia="Arial" w:hAnsi="Arial" w:cs="Arial"/>
        </w:rPr>
      </w:pPr>
      <w:r>
        <w:rPr>
          <w:rFonts w:ascii="Arial" w:eastAsia="Arial" w:hAnsi="Arial" w:cs="Arial"/>
        </w:rPr>
        <w:t>Australian National University Students’ Association (‘ANUSA’)</w:t>
      </w:r>
    </w:p>
    <w:p w14:paraId="39561CA6" w14:textId="77777777" w:rsidR="00463C1C" w:rsidRDefault="00000000">
      <w:pPr>
        <w:spacing w:after="0"/>
        <w:rPr>
          <w:rFonts w:ascii="Arial" w:eastAsia="Arial" w:hAnsi="Arial" w:cs="Arial"/>
        </w:rPr>
      </w:pPr>
      <w:r>
        <w:rPr>
          <w:rFonts w:ascii="Arial" w:eastAsia="Arial" w:hAnsi="Arial" w:cs="Arial"/>
        </w:rPr>
        <w:t>Sydney University Postgraduate Representative Association (‘SUPRA’)</w:t>
      </w:r>
    </w:p>
    <w:p w14:paraId="3795CDDE" w14:textId="77777777" w:rsidR="00463C1C" w:rsidRDefault="00000000">
      <w:pPr>
        <w:spacing w:after="0"/>
        <w:rPr>
          <w:rFonts w:ascii="Arial" w:eastAsia="Arial" w:hAnsi="Arial" w:cs="Arial"/>
          <w:highlight w:val="white"/>
        </w:rPr>
      </w:pPr>
      <w:r>
        <w:rPr>
          <w:rFonts w:ascii="Arial" w:eastAsia="Arial" w:hAnsi="Arial" w:cs="Arial"/>
        </w:rPr>
        <w:t>University of Technology Sydney Law Students’ Society (‘UTSLSS’)</w:t>
      </w:r>
    </w:p>
    <w:p w14:paraId="09079505" w14:textId="77777777" w:rsidR="00463C1C" w:rsidRDefault="00463C1C">
      <w:pPr>
        <w:ind w:left="0" w:hanging="2"/>
        <w:rPr>
          <w:rFonts w:ascii="Arial" w:eastAsia="Arial" w:hAnsi="Arial" w:cs="Arial"/>
          <w:b/>
          <w:sz w:val="24"/>
          <w:szCs w:val="24"/>
        </w:rPr>
      </w:pPr>
    </w:p>
    <w:sectPr w:rsidR="00463C1C">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DEC8" w14:textId="77777777" w:rsidR="00D419CA" w:rsidRDefault="00D419CA">
      <w:pPr>
        <w:spacing w:after="0" w:line="240" w:lineRule="auto"/>
        <w:ind w:left="0" w:hanging="2"/>
      </w:pPr>
      <w:r>
        <w:separator/>
      </w:r>
    </w:p>
  </w:endnote>
  <w:endnote w:type="continuationSeparator" w:id="0">
    <w:p w14:paraId="3DBC0713" w14:textId="77777777" w:rsidR="00D419CA" w:rsidRDefault="00D419C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12D8" w14:textId="77777777" w:rsidR="005F7F22" w:rsidRDefault="005F7F2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2C3" w14:textId="77777777" w:rsidR="005F7F22" w:rsidRDefault="005F7F2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136C" w14:textId="77777777" w:rsidR="005F7F22" w:rsidRDefault="005F7F2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D4A3" w14:textId="77777777" w:rsidR="00D419CA" w:rsidRDefault="00D419CA">
      <w:pPr>
        <w:spacing w:after="0" w:line="240" w:lineRule="auto"/>
        <w:ind w:left="0" w:hanging="2"/>
      </w:pPr>
      <w:r>
        <w:separator/>
      </w:r>
    </w:p>
  </w:footnote>
  <w:footnote w:type="continuationSeparator" w:id="0">
    <w:p w14:paraId="6F9729A4" w14:textId="77777777" w:rsidR="00D419CA" w:rsidRDefault="00D419CA">
      <w:pPr>
        <w:spacing w:after="0" w:line="240" w:lineRule="auto"/>
        <w:ind w:left="0" w:hanging="2"/>
      </w:pPr>
      <w:r>
        <w:continuationSeparator/>
      </w:r>
    </w:p>
  </w:footnote>
  <w:footnote w:id="1">
    <w:p w14:paraId="2704F676" w14:textId="77777777" w:rsidR="00463C1C" w:rsidRDefault="00000000">
      <w:pPr>
        <w:spacing w:after="0" w:line="240" w:lineRule="auto"/>
        <w:ind w:left="0" w:hanging="2"/>
        <w:rPr>
          <w:rFonts w:ascii="Arial" w:eastAsia="Arial" w:hAnsi="Arial" w:cs="Arial"/>
          <w:sz w:val="18"/>
          <w:szCs w:val="18"/>
        </w:rPr>
      </w:pPr>
      <w:r>
        <w:rPr>
          <w:vertAlign w:val="superscript"/>
        </w:rPr>
        <w:footnoteRef/>
      </w:r>
      <w:r>
        <w:rPr>
          <w:rFonts w:ascii="Arial" w:eastAsia="Arial" w:hAnsi="Arial" w:cs="Arial"/>
          <w:sz w:val="18"/>
          <w:szCs w:val="18"/>
        </w:rPr>
        <w:t xml:space="preserve"> See, </w:t>
      </w:r>
      <w:proofErr w:type="spellStart"/>
      <w:r>
        <w:rPr>
          <w:rFonts w:ascii="Arial" w:eastAsia="Arial" w:hAnsi="Arial" w:cs="Arial"/>
          <w:sz w:val="18"/>
          <w:szCs w:val="18"/>
        </w:rPr>
        <w:t>eg</w:t>
      </w:r>
      <w:proofErr w:type="spellEnd"/>
      <w:r>
        <w:rPr>
          <w:rFonts w:ascii="Arial" w:eastAsia="Arial" w:hAnsi="Arial" w:cs="Arial"/>
          <w:sz w:val="18"/>
          <w:szCs w:val="18"/>
        </w:rPr>
        <w:t xml:space="preserve">, Harlan Lane, ‘Do Deaf People Have a Disability?’ (2002) 2(4) </w:t>
      </w:r>
      <w:r>
        <w:rPr>
          <w:rFonts w:ascii="Arial" w:eastAsia="Arial" w:hAnsi="Arial" w:cs="Arial"/>
          <w:i/>
          <w:sz w:val="18"/>
          <w:szCs w:val="18"/>
        </w:rPr>
        <w:t>Sign Language Studies</w:t>
      </w:r>
      <w:r>
        <w:rPr>
          <w:rFonts w:ascii="Arial" w:eastAsia="Arial" w:hAnsi="Arial" w:cs="Arial"/>
          <w:sz w:val="18"/>
          <w:szCs w:val="18"/>
        </w:rPr>
        <w:t xml:space="preserve"> 356, 365-79; Steven E. Brown, ‘What Is Disability Culture?’ 22(2) </w:t>
      </w:r>
      <w:r>
        <w:rPr>
          <w:rFonts w:ascii="Arial" w:eastAsia="Arial" w:hAnsi="Arial" w:cs="Arial"/>
          <w:i/>
          <w:sz w:val="18"/>
          <w:szCs w:val="18"/>
        </w:rPr>
        <w:t>Disability Studies Quarterly</w:t>
      </w:r>
      <w:r>
        <w:rPr>
          <w:rFonts w:ascii="Arial" w:eastAsia="Arial" w:hAnsi="Arial" w:cs="Arial"/>
          <w:sz w:val="18"/>
          <w:szCs w:val="18"/>
        </w:rPr>
        <w:t xml:space="preserve"> 34; </w:t>
      </w:r>
      <w:proofErr w:type="spellStart"/>
      <w:r>
        <w:rPr>
          <w:rFonts w:ascii="Arial" w:eastAsia="Arial" w:hAnsi="Arial" w:cs="Arial"/>
          <w:sz w:val="18"/>
          <w:szCs w:val="18"/>
        </w:rPr>
        <w:t>Jemina</w:t>
      </w:r>
      <w:proofErr w:type="spellEnd"/>
      <w:r>
        <w:rPr>
          <w:rFonts w:ascii="Arial" w:eastAsia="Arial" w:hAnsi="Arial" w:cs="Arial"/>
          <w:sz w:val="18"/>
          <w:szCs w:val="18"/>
        </w:rPr>
        <w:t xml:space="preserve"> Napier and Alastair McEwin, ‘Do Deaf People Have the Right to Serve as Jurors in Australia?’ (2015) 40(1) </w:t>
      </w:r>
      <w:r>
        <w:rPr>
          <w:rFonts w:ascii="Arial" w:eastAsia="Arial" w:hAnsi="Arial" w:cs="Arial"/>
          <w:i/>
          <w:sz w:val="18"/>
          <w:szCs w:val="18"/>
        </w:rPr>
        <w:t>Alternative Law Journal</w:t>
      </w:r>
      <w:r>
        <w:rPr>
          <w:rFonts w:ascii="Arial" w:eastAsia="Arial" w:hAnsi="Arial" w:cs="Arial"/>
          <w:sz w:val="18"/>
          <w:szCs w:val="18"/>
        </w:rPr>
        <w:t xml:space="preserve"> 23, 23-26.</w:t>
      </w:r>
    </w:p>
  </w:footnote>
  <w:footnote w:id="2">
    <w:p w14:paraId="046FE237" w14:textId="77777777" w:rsidR="00463C1C" w:rsidRDefault="00000000">
      <w:pPr>
        <w:spacing w:after="0" w:line="240" w:lineRule="auto"/>
        <w:ind w:left="0" w:hanging="2"/>
        <w:rPr>
          <w:rFonts w:ascii="Arial" w:eastAsia="Arial" w:hAnsi="Arial" w:cs="Arial"/>
          <w:sz w:val="20"/>
          <w:szCs w:val="20"/>
        </w:rPr>
      </w:pPr>
      <w:r>
        <w:rPr>
          <w:vertAlign w:val="superscript"/>
        </w:rPr>
        <w:footnoteRef/>
      </w:r>
      <w:r>
        <w:rPr>
          <w:rFonts w:ascii="Arial" w:eastAsia="Arial" w:hAnsi="Arial" w:cs="Arial"/>
          <w:sz w:val="18"/>
          <w:szCs w:val="18"/>
        </w:rPr>
        <w:t xml:space="preserve"> Ibid.</w:t>
      </w:r>
    </w:p>
  </w:footnote>
  <w:footnote w:id="3">
    <w:p w14:paraId="5346072F" w14:textId="77777777" w:rsidR="00463C1C" w:rsidRDefault="00000000">
      <w:pPr>
        <w:spacing w:after="0" w:line="240" w:lineRule="auto"/>
        <w:ind w:left="0" w:hanging="2"/>
        <w:rPr>
          <w:rFonts w:ascii="Arial" w:eastAsia="Arial" w:hAnsi="Arial" w:cs="Arial"/>
          <w:sz w:val="18"/>
          <w:szCs w:val="18"/>
        </w:rPr>
      </w:pPr>
      <w:r>
        <w:rPr>
          <w:vertAlign w:val="superscript"/>
        </w:rPr>
        <w:footnoteRef/>
      </w:r>
      <w:r>
        <w:rPr>
          <w:rFonts w:ascii="Arial" w:eastAsia="Arial" w:hAnsi="Arial" w:cs="Arial"/>
          <w:sz w:val="18"/>
          <w:szCs w:val="18"/>
        </w:rPr>
        <w:t xml:space="preserve"> Kristen </w:t>
      </w:r>
      <w:proofErr w:type="spellStart"/>
      <w:r>
        <w:rPr>
          <w:rFonts w:ascii="Arial" w:eastAsia="Arial" w:hAnsi="Arial" w:cs="Arial"/>
          <w:sz w:val="18"/>
          <w:szCs w:val="18"/>
        </w:rPr>
        <w:t>Bottema-Beutel</w:t>
      </w:r>
      <w:proofErr w:type="spellEnd"/>
      <w:r>
        <w:rPr>
          <w:rFonts w:ascii="Arial" w:eastAsia="Arial" w:hAnsi="Arial" w:cs="Arial"/>
          <w:sz w:val="18"/>
          <w:szCs w:val="18"/>
        </w:rPr>
        <w:t xml:space="preserve">, Steven K. Kapp, Jessica Nina Lester, Noah J. </w:t>
      </w:r>
      <w:proofErr w:type="spellStart"/>
      <w:r>
        <w:rPr>
          <w:rFonts w:ascii="Arial" w:eastAsia="Arial" w:hAnsi="Arial" w:cs="Arial"/>
          <w:sz w:val="18"/>
          <w:szCs w:val="18"/>
        </w:rPr>
        <w:t>Sasson</w:t>
      </w:r>
      <w:proofErr w:type="spellEnd"/>
      <w:r>
        <w:rPr>
          <w:rFonts w:ascii="Arial" w:eastAsia="Arial" w:hAnsi="Arial" w:cs="Arial"/>
          <w:sz w:val="18"/>
          <w:szCs w:val="18"/>
        </w:rPr>
        <w:t xml:space="preserve">, and Brittany N. Hand, ‘Avoiding Ableist Language: Suggestions for Autism Researchers’ (2021) 3(1) </w:t>
      </w:r>
      <w:r>
        <w:rPr>
          <w:rFonts w:ascii="Arial" w:eastAsia="Arial" w:hAnsi="Arial" w:cs="Arial"/>
          <w:i/>
          <w:sz w:val="18"/>
          <w:szCs w:val="18"/>
        </w:rPr>
        <w:t>Autism in Adulthood</w:t>
      </w:r>
      <w:r>
        <w:rPr>
          <w:rFonts w:ascii="Arial" w:eastAsia="Arial" w:hAnsi="Arial" w:cs="Arial"/>
          <w:sz w:val="18"/>
          <w:szCs w:val="18"/>
        </w:rPr>
        <w:t xml:space="preserve"> </w:t>
      </w:r>
      <w:proofErr w:type="gramStart"/>
      <w:r>
        <w:rPr>
          <w:rFonts w:ascii="Arial" w:eastAsia="Arial" w:hAnsi="Arial" w:cs="Arial"/>
          <w:sz w:val="18"/>
          <w:szCs w:val="18"/>
        </w:rPr>
        <w:t>18..</w:t>
      </w:r>
      <w:proofErr w:type="gramEnd"/>
    </w:p>
  </w:footnote>
  <w:footnote w:id="4">
    <w:p w14:paraId="408E808C" w14:textId="77777777" w:rsidR="00463C1C" w:rsidRDefault="00000000">
      <w:pPr>
        <w:spacing w:after="0" w:line="240" w:lineRule="auto"/>
        <w:ind w:left="0" w:hanging="2"/>
        <w:rPr>
          <w:rFonts w:ascii="Arial" w:eastAsia="Arial" w:hAnsi="Arial" w:cs="Arial"/>
          <w:sz w:val="20"/>
          <w:szCs w:val="20"/>
        </w:rPr>
      </w:pPr>
      <w:r>
        <w:rPr>
          <w:vertAlign w:val="superscript"/>
        </w:rPr>
        <w:footnoteRef/>
      </w:r>
      <w:r>
        <w:rPr>
          <w:rFonts w:ascii="Arial" w:eastAsia="Arial" w:hAnsi="Arial" w:cs="Arial"/>
          <w:sz w:val="18"/>
          <w:szCs w:val="18"/>
        </w:rPr>
        <w:t xml:space="preserve"> Kate </w:t>
      </w:r>
      <w:proofErr w:type="spellStart"/>
      <w:r>
        <w:rPr>
          <w:rFonts w:ascii="Arial" w:eastAsia="Arial" w:hAnsi="Arial" w:cs="Arial"/>
          <w:sz w:val="18"/>
          <w:szCs w:val="18"/>
        </w:rPr>
        <w:t>Bachtel</w:t>
      </w:r>
      <w:proofErr w:type="spellEnd"/>
      <w:r>
        <w:rPr>
          <w:rFonts w:ascii="Arial" w:eastAsia="Arial" w:hAnsi="Arial" w:cs="Arial"/>
          <w:sz w:val="18"/>
          <w:szCs w:val="18"/>
        </w:rPr>
        <w:t xml:space="preserve"> &amp; Rachel Fell, ‘Trauma Induced Twice-Exceptionality: Preventing Psychological Injury of Gifted Children in the Classroom’ in Fernanda Hellen Ribeiro </w:t>
      </w:r>
      <w:proofErr w:type="spellStart"/>
      <w:r>
        <w:rPr>
          <w:rFonts w:ascii="Arial" w:eastAsia="Arial" w:hAnsi="Arial" w:cs="Arial"/>
          <w:sz w:val="18"/>
          <w:szCs w:val="18"/>
        </w:rPr>
        <w:t>Piske</w:t>
      </w:r>
      <w:proofErr w:type="spellEnd"/>
      <w:r>
        <w:rPr>
          <w:rFonts w:ascii="Arial" w:eastAsia="Arial" w:hAnsi="Arial" w:cs="Arial"/>
          <w:sz w:val="18"/>
          <w:szCs w:val="18"/>
        </w:rPr>
        <w:t xml:space="preserve">, Kristina Henry Collins, &amp; Karen B. </w:t>
      </w:r>
      <w:proofErr w:type="spellStart"/>
      <w:r>
        <w:rPr>
          <w:rFonts w:ascii="Arial" w:eastAsia="Arial" w:hAnsi="Arial" w:cs="Arial"/>
          <w:sz w:val="18"/>
          <w:szCs w:val="18"/>
        </w:rPr>
        <w:t>Arnstein</w:t>
      </w:r>
      <w:proofErr w:type="spellEnd"/>
      <w:r>
        <w:rPr>
          <w:rFonts w:ascii="Arial" w:eastAsia="Arial" w:hAnsi="Arial" w:cs="Arial"/>
          <w:sz w:val="18"/>
          <w:szCs w:val="18"/>
        </w:rPr>
        <w:t xml:space="preserve"> (eds), </w:t>
      </w:r>
      <w:r>
        <w:rPr>
          <w:rFonts w:ascii="Arial" w:eastAsia="Arial" w:hAnsi="Arial" w:cs="Arial"/>
          <w:i/>
          <w:sz w:val="18"/>
          <w:szCs w:val="18"/>
        </w:rPr>
        <w:t>Critical Issues in Servicing Twice Exceptional Students</w:t>
      </w:r>
      <w:r>
        <w:rPr>
          <w:rFonts w:ascii="Arial" w:eastAsia="Arial" w:hAnsi="Arial" w:cs="Arial"/>
          <w:sz w:val="18"/>
          <w:szCs w:val="18"/>
        </w:rPr>
        <w:t xml:space="preserve"> (Springer, 2022) 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F06D" w14:textId="77777777" w:rsidR="005F7F22" w:rsidRDefault="005F7F2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3D3C" w14:textId="77777777" w:rsidR="00463C1C" w:rsidRDefault="00000000">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6165AEC6" wp14:editId="518CE454">
          <wp:extent cx="2027555" cy="819785"/>
          <wp:effectExtent l="0" t="0" r="0" b="0"/>
          <wp:docPr id="1031" name="image1.png" descr="The Sydney University Law Society logo which is turquoise-coloured, with a crest to the left of 'Sydney University Law Society' text. The crest contains an image of a lion positioned above the scales of justice."/>
          <wp:cNvGraphicFramePr/>
          <a:graphic xmlns:a="http://schemas.openxmlformats.org/drawingml/2006/main">
            <a:graphicData uri="http://schemas.openxmlformats.org/drawingml/2006/picture">
              <pic:pic xmlns:pic="http://schemas.openxmlformats.org/drawingml/2006/picture">
                <pic:nvPicPr>
                  <pic:cNvPr id="1031" name="image1.png" descr="The Sydney University Law Society logo which is turquoise-coloured, with a crest to the left of 'Sydney University Law Society' text. The crest contains an image of a lion positioned above the scales of justice."/>
                  <pic:cNvPicPr preferRelativeResize="0"/>
                </pic:nvPicPr>
                <pic:blipFill>
                  <a:blip r:embed="rId1"/>
                  <a:srcRect/>
                  <a:stretch>
                    <a:fillRect/>
                  </a:stretch>
                </pic:blipFill>
                <pic:spPr>
                  <a:xfrm>
                    <a:off x="0" y="0"/>
                    <a:ext cx="2027555" cy="819785"/>
                  </a:xfrm>
                  <a:prstGeom prst="rect">
                    <a:avLst/>
                  </a:prstGeom>
                  <a:ln/>
                </pic:spPr>
              </pic:pic>
            </a:graphicData>
          </a:graphic>
        </wp:inline>
      </w:drawing>
    </w:r>
  </w:p>
  <w:p w14:paraId="7684DBB1" w14:textId="77777777" w:rsidR="00463C1C" w:rsidRDefault="00463C1C">
    <w:pPr>
      <w:spacing w:after="0" w:line="240" w:lineRule="auto"/>
      <w:ind w:left="0" w:hanging="2"/>
      <w:jc w:val="center"/>
      <w:rPr>
        <w:rFonts w:ascii="Times New Roman" w:eastAsia="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CE88" w14:textId="77777777" w:rsidR="005F7F22" w:rsidRDefault="005F7F2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14EF"/>
    <w:multiLevelType w:val="multilevel"/>
    <w:tmpl w:val="9F868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D061F5"/>
    <w:multiLevelType w:val="multilevel"/>
    <w:tmpl w:val="7256F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0177185">
    <w:abstractNumId w:val="1"/>
  </w:num>
  <w:num w:numId="2" w16cid:durableId="83060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1C"/>
    <w:rsid w:val="00463C1C"/>
    <w:rsid w:val="005F7F22"/>
    <w:rsid w:val="00995CB5"/>
    <w:rsid w:val="00D419C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FC82F"/>
  <w15:docId w15:val="{E4DD3C4D-94D9-4893-A1CC-043584C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maze.org.au/wp-content/uploads/2020/09/Talking-about-autism-a-media-resource.pdf" TargetMode="External"/><Relationship Id="rId18" Type="http://schemas.openxmlformats.org/officeDocument/2006/relationships/hyperlink" Target="https://www.autistichoya.com/p/ableist-words-and-terms-to-avoid.html" TargetMode="External"/><Relationship Id="rId26" Type="http://schemas.openxmlformats.org/officeDocument/2006/relationships/hyperlink" Target="https://ncdj.org/style-guide/" TargetMode="External"/><Relationship Id="rId21" Type="http://schemas.openxmlformats.org/officeDocument/2006/relationships/hyperlink" Target="https://deafaustralia.org.au/contac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br.org/2020/12/why-you-need-to-stop-using-these-words-and-phrases" TargetMode="External"/><Relationship Id="rId17" Type="http://schemas.openxmlformats.org/officeDocument/2006/relationships/hyperlink" Target="https://www.duo.uio.no/bitstream/handle/10852/51058/1/Inspiration%2Bporn%2Bpostprint.pdf" TargetMode="External"/><Relationship Id="rId25" Type="http://schemas.openxmlformats.org/officeDocument/2006/relationships/hyperlink" Target="https://www.lpaonline.org/the-m-word"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ytimes.com/2021/09/05/sports/olympics/inspiration-porn-paralympians-know-it-when-they-see-it.html" TargetMode="External"/><Relationship Id="rId20" Type="http://schemas.openxmlformats.org/officeDocument/2006/relationships/hyperlink" Target="mailto:info@deafaustralia.org.au" TargetMode="External"/><Relationship Id="rId29" Type="http://schemas.openxmlformats.org/officeDocument/2006/relationships/hyperlink" Target="https://pwd.org.au/wp-content/uploads/2021/12/PWDA-Language-Guide-v2-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sw.gov.au/mentalhealth/psychosocial/foundations/Pages/psychosocial-whatis.aspx" TargetMode="External"/><Relationship Id="rId24" Type="http://schemas.openxmlformats.org/officeDocument/2006/relationships/hyperlink" Target="https://www.taylorfrancis.com/chapters/edit/10.4324/9781003239345-2/twice-exceptionality-susan-baum-robin-schade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rbes.com/sites/andrewpulrang/2019/11/29/how-to-avoid-inspiration-porn/?sh=76dbf1cf5b3d" TargetMode="External"/><Relationship Id="rId23" Type="http://schemas.openxmlformats.org/officeDocument/2006/relationships/hyperlink" Target="https://news.vanderbilt.edu/2019/04/23/disability-is-not-a-dirty-word-handi-capable-should-be-retired/" TargetMode="External"/><Relationship Id="rId28" Type="http://schemas.openxmlformats.org/officeDocument/2006/relationships/hyperlink" Target="https://www.amaze.org.au/wp-content/uploads/2020/09/Talking-about-autism-a-media-resource.pdf"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deafaustralia.org.a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Jig5uNbN3xk" TargetMode="External"/><Relationship Id="rId14" Type="http://schemas.openxmlformats.org/officeDocument/2006/relationships/hyperlink" Target="https://www.youtube.com/watch?v=SxrS7-I_sMQ" TargetMode="External"/><Relationship Id="rId22" Type="http://schemas.openxmlformats.org/officeDocument/2006/relationships/hyperlink" Target="https://ncdj.org/style-guide/" TargetMode="External"/><Relationship Id="rId27" Type="http://schemas.openxmlformats.org/officeDocument/2006/relationships/hyperlink" Target="https://www.mulss.com/statement-on-ableism-at-mls" TargetMode="External"/><Relationship Id="rId30" Type="http://schemas.openxmlformats.org/officeDocument/2006/relationships/hyperlink" Target="https://www.vic.gov.au/state-disability-plan/our-language/person-first-and-identity-first-language" TargetMode="External"/><Relationship Id="rId35" Type="http://schemas.openxmlformats.org/officeDocument/2006/relationships/header" Target="header3.xml"/><Relationship Id="rId8" Type="http://schemas.openxmlformats.org/officeDocument/2006/relationships/hyperlink" Target="https://www.un.org/development/desa/disabilities/convention-on-the-rights-of-persons-with-disabilities/convention-on-the-rights-of-persons-with-disabilities-2.htm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VSFhY95S9iHZjSUiTaFkNHP55w==">AMUW2mWpjDyzG2ihDSMAu9+lsNFzv7A0HdauUWIEmLvh0yeC0Xi0Q87l68Zh6999iHsre3XMRrGaFT/l3moJd8ZfAupSp7Ity364fvFrs87hDWduV1y4h3U=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ALABS</dc:creator>
  <cp:lastModifiedBy>Julia Lim</cp:lastModifiedBy>
  <cp:revision>3</cp:revision>
  <dcterms:created xsi:type="dcterms:W3CDTF">2023-02-24T02:42:00Z</dcterms:created>
  <dcterms:modified xsi:type="dcterms:W3CDTF">2023-02-24T02:44:00Z</dcterms:modified>
</cp:coreProperties>
</file>